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C933C">
      <w:pPr>
        <w:bidi w:val="0"/>
        <w:ind w:left="0" w:leftChars="0" w:firstLine="0" w:firstLineChars="0"/>
        <w:rPr>
          <w:rFonts w:hint="eastAsia" w:ascii="宋体" w:hAnsi="宋体" w:eastAsia="方正黑体_GBK" w:cs="方正黑体_GBK"/>
          <w:color w:val="auto"/>
          <w:sz w:val="32"/>
          <w:szCs w:val="32"/>
          <w:u w:val="none"/>
          <w:lang w:val="en-US" w:eastAsia="zh-CN"/>
        </w:rPr>
      </w:pPr>
      <w:r>
        <w:rPr>
          <w:rFonts w:hint="eastAsia" w:ascii="宋体" w:hAnsi="宋体" w:eastAsia="方正黑体_GBK" w:cs="方正黑体_GBK"/>
          <w:color w:val="auto"/>
          <w:sz w:val="32"/>
          <w:szCs w:val="32"/>
          <w:u w:val="none"/>
          <w:lang w:val="en-US" w:eastAsia="zh-CN"/>
        </w:rPr>
        <w:t>附件1</w:t>
      </w:r>
    </w:p>
    <w:p w14:paraId="5A1720A6">
      <w:pPr>
        <w:keepNext w:val="0"/>
        <w:keepLines w:val="0"/>
        <w:pageBreakBefore w:val="0"/>
        <w:widowControl w:val="0"/>
        <w:kinsoku/>
        <w:wordWrap/>
        <w:overflowPunct/>
        <w:topLinePunct w:val="0"/>
        <w:autoSpaceDE/>
        <w:autoSpaceDN/>
        <w:bidi w:val="0"/>
        <w:adjustRightInd w:val="0"/>
        <w:snapToGrid w:val="0"/>
        <w:ind w:left="0" w:leftChars="0" w:firstLine="0" w:firstLineChars="0"/>
        <w:textAlignment w:val="auto"/>
        <w:rPr>
          <w:rFonts w:hint="default" w:ascii="宋体" w:hAnsi="宋体" w:eastAsia="方正黑体_GBK" w:cs="方正黑体_GBK"/>
          <w:color w:val="auto"/>
          <w:sz w:val="32"/>
          <w:szCs w:val="32"/>
          <w:u w:val="none"/>
          <w:lang w:val="en-US" w:eastAsia="zh-CN"/>
        </w:rPr>
      </w:pPr>
    </w:p>
    <w:p w14:paraId="6A64D5F6">
      <w:pPr>
        <w:pStyle w:val="13"/>
        <w:bidi w:val="0"/>
        <w:rPr>
          <w:rFonts w:hint="eastAsia"/>
          <w:lang w:val="en-US" w:eastAsia="zh-CN"/>
        </w:rPr>
      </w:pPr>
      <w:bookmarkStart w:id="0" w:name="content"/>
      <w:r>
        <w:rPr>
          <w:rFonts w:hint="eastAsia"/>
          <w:lang w:val="en-US" w:eastAsia="zh-CN"/>
        </w:rPr>
        <w:t>《云南省工业用水效率达国家定额先进值纳税人名单认定实施办法（试行）》</w:t>
      </w:r>
    </w:p>
    <w:p w14:paraId="4C45145F">
      <w:pPr>
        <w:pStyle w:val="13"/>
        <w:bidi w:val="0"/>
        <w:rPr>
          <w:rFonts w:hint="eastAsia" w:ascii="宋体" w:hAnsi="宋体"/>
          <w:lang w:val="en-US" w:eastAsia="zh-CN"/>
        </w:rPr>
      </w:pPr>
      <w:r>
        <w:rPr>
          <w:rFonts w:hint="eastAsia"/>
          <w:lang w:val="en-US" w:eastAsia="zh-CN"/>
        </w:rPr>
        <w:t>（征求意见稿）</w:t>
      </w:r>
    </w:p>
    <w:p w14:paraId="574754E9">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0" w:firstLineChars="0"/>
        <w:textAlignment w:val="auto"/>
        <w:rPr>
          <w:rFonts w:hint="eastAsia" w:ascii="宋体" w:hAnsi="宋体"/>
          <w:lang w:val="en-US" w:eastAsia="zh-CN"/>
        </w:rPr>
      </w:pPr>
    </w:p>
    <w:p w14:paraId="41D2057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黑体_GBK" w:cs="方正黑体_GBK"/>
          <w:kern w:val="2"/>
          <w:sz w:val="32"/>
          <w:szCs w:val="32"/>
          <w:lang w:val="en-US" w:eastAsia="zh-CN" w:bidi="ar-SA"/>
        </w:rPr>
        <w:t>第一条</w:t>
      </w:r>
      <w:r>
        <w:rPr>
          <w:rFonts w:hint="eastAsia"/>
          <w:lang w:val="en-US" w:eastAsia="zh-CN"/>
        </w:rPr>
        <w:t>　</w:t>
      </w:r>
      <w:r>
        <w:rPr>
          <w:rFonts w:hint="eastAsia" w:ascii="宋体" w:hAnsi="宋体" w:eastAsia="方正仿宋_GBK" w:cs="方正仿宋_GBK"/>
          <w:sz w:val="32"/>
          <w:szCs w:val="32"/>
          <w:lang w:val="en-US" w:eastAsia="zh-CN"/>
        </w:rPr>
        <w:t>为扶持和鼓励节水达到国家用水定额先进值的工业企业发展，进一步促进水资源节约集约利用，推动经济社会绿色转型，根据《财政部 税务总局 水利部关于印发〈水资源税改革试点实施办法〉的通知》（财税〔2024〕28号）《国家税务总局 财政部 水利部关于水资源税有关征管问题的公告》（</w:t>
      </w:r>
      <w:r>
        <w:rPr>
          <w:rFonts w:hint="eastAsia" w:ascii="宋体" w:hAnsi="宋体" w:eastAsia="方正仿宋_GBK" w:cs="方正仿宋_GBK"/>
          <w:i w:val="0"/>
          <w:iCs w:val="0"/>
          <w:caps w:val="0"/>
          <w:color w:val="auto"/>
          <w:spacing w:val="0"/>
          <w:sz w:val="32"/>
          <w:szCs w:val="32"/>
          <w:shd w:val="clear" w:fill="FFFFFF"/>
          <w:lang w:val="en-US" w:eastAsia="zh-CN"/>
        </w:rPr>
        <w:t>国家税务总局 财政部 水利部公告</w:t>
      </w:r>
      <w:r>
        <w:rPr>
          <w:rFonts w:hint="eastAsia" w:ascii="宋体" w:hAnsi="宋体" w:eastAsia="方正仿宋_GBK" w:cs="方正仿宋_GBK"/>
          <w:sz w:val="32"/>
          <w:szCs w:val="32"/>
          <w:lang w:val="en-US" w:eastAsia="zh-CN"/>
        </w:rPr>
        <w:t>2024年第12号）有关规定，结合云南省实际，制定本办法。</w:t>
      </w:r>
    </w:p>
    <w:p w14:paraId="02279FB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黑体_GBK" w:cs="方正黑体_GBK"/>
          <w:kern w:val="2"/>
          <w:sz w:val="32"/>
          <w:szCs w:val="32"/>
          <w:lang w:val="en-US" w:eastAsia="zh-CN" w:bidi="ar-SA"/>
        </w:rPr>
        <w:t>第二条</w:t>
      </w:r>
      <w:r>
        <w:rPr>
          <w:rFonts w:hint="eastAsia"/>
          <w:lang w:val="en-US" w:eastAsia="zh-CN"/>
        </w:rPr>
        <w:t>　</w:t>
      </w:r>
      <w:r>
        <w:rPr>
          <w:rFonts w:hint="eastAsia" w:ascii="宋体" w:hAnsi="宋体" w:eastAsia="方正仿宋_GBK" w:cs="方正仿宋_GBK"/>
          <w:sz w:val="32"/>
          <w:szCs w:val="32"/>
          <w:lang w:val="en-US" w:eastAsia="zh-CN"/>
        </w:rPr>
        <w:t>本办法所认定的工业企业，应为云南省水资源税纳税人，且上一年度所生产的工业产品在国家用水定额涵盖的行业范围内，工业用水效率达到国家用水定额先进值。</w:t>
      </w:r>
    </w:p>
    <w:p w14:paraId="77C6FB2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宋体" w:hAnsi="宋体"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第三条</w:t>
      </w:r>
      <w:r>
        <w:rPr>
          <w:rFonts w:hint="eastAsia" w:cs="方正仿宋_GBK"/>
          <w:sz w:val="32"/>
          <w:szCs w:val="32"/>
          <w:lang w:val="en-US" w:eastAsia="zh-CN"/>
        </w:rPr>
        <w:t>　</w:t>
      </w:r>
      <w:r>
        <w:rPr>
          <w:rFonts w:hint="eastAsia" w:ascii="宋体" w:hAnsi="宋体" w:eastAsia="方正仿宋_GBK" w:cs="方正仿宋_GBK"/>
          <w:sz w:val="32"/>
          <w:szCs w:val="32"/>
          <w:lang w:val="en-US" w:eastAsia="zh-CN"/>
        </w:rPr>
        <w:t>依据本办法认定的工业企业可依照《财政部 税务总局 水利部关于印发〈水资源税改革试点实施办法〉的通知》</w:t>
      </w:r>
      <w:r>
        <w:rPr>
          <w:rFonts w:hint="eastAsia" w:cs="方正仿宋_GBK"/>
          <w:sz w:val="32"/>
          <w:szCs w:val="32"/>
          <w:lang w:val="en-US" w:eastAsia="zh-CN"/>
        </w:rPr>
        <w:t>（</w:t>
      </w:r>
      <w:r>
        <w:rPr>
          <w:rFonts w:hint="eastAsia" w:ascii="宋体" w:hAnsi="宋体" w:eastAsia="方正仿宋_GBK" w:cs="方正仿宋_GBK"/>
          <w:sz w:val="32"/>
          <w:szCs w:val="32"/>
          <w:lang w:val="en-US" w:eastAsia="zh-CN"/>
        </w:rPr>
        <w:t>财税〔2024〕28号</w:t>
      </w:r>
      <w:r>
        <w:rPr>
          <w:rFonts w:hint="eastAsia" w:cs="方正仿宋_GBK"/>
          <w:sz w:val="32"/>
          <w:szCs w:val="32"/>
          <w:lang w:val="en-US" w:eastAsia="zh-CN"/>
        </w:rPr>
        <w:t>）</w:t>
      </w:r>
      <w:r>
        <w:rPr>
          <w:rFonts w:hint="eastAsia" w:ascii="宋体" w:hAnsi="宋体" w:eastAsia="方正仿宋_GBK" w:cs="方正仿宋_GBK"/>
          <w:sz w:val="32"/>
          <w:szCs w:val="32"/>
          <w:lang w:val="en-US" w:eastAsia="zh-CN"/>
        </w:rPr>
        <w:t>、《国家税务总局 财政部 水利部关于水资源税有关征管问题的公告》（</w:t>
      </w:r>
      <w:r>
        <w:rPr>
          <w:rFonts w:hint="eastAsia" w:ascii="宋体" w:hAnsi="宋体" w:eastAsia="方正仿宋_GBK" w:cs="方正仿宋_GBK"/>
          <w:i w:val="0"/>
          <w:iCs w:val="0"/>
          <w:caps w:val="0"/>
          <w:color w:val="auto"/>
          <w:spacing w:val="0"/>
          <w:sz w:val="32"/>
          <w:szCs w:val="32"/>
          <w:shd w:val="clear" w:fill="FFFFFF"/>
          <w:lang w:val="en-US" w:eastAsia="zh-CN"/>
        </w:rPr>
        <w:t>国家税务总局 财政部 水利部公告</w:t>
      </w:r>
      <w:r>
        <w:rPr>
          <w:rFonts w:hint="eastAsia" w:ascii="宋体" w:hAnsi="宋体" w:eastAsia="方正仿宋_GBK" w:cs="方正仿宋_GBK"/>
          <w:sz w:val="32"/>
          <w:szCs w:val="32"/>
          <w:lang w:val="en-US" w:eastAsia="zh-CN"/>
        </w:rPr>
        <w:t>2024年第12号）、《中华人民共和国税收征收管理法》及其实施细则等有关规定，申报享受本年度相应工业用水部分减征百分之二十水资源税优惠政策。</w:t>
      </w:r>
    </w:p>
    <w:p w14:paraId="2615693B">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黑体_GBK" w:cs="方正黑体_GBK"/>
          <w:kern w:val="2"/>
          <w:sz w:val="32"/>
          <w:szCs w:val="32"/>
          <w:lang w:val="en-US" w:eastAsia="zh-CN" w:bidi="ar-SA"/>
        </w:rPr>
        <w:t>第四条</w:t>
      </w:r>
      <w:r>
        <w:rPr>
          <w:rFonts w:hint="eastAsia" w:eastAsia="方正黑体_GBK" w:cs="方正黑体_GBK"/>
          <w:kern w:val="2"/>
          <w:sz w:val="32"/>
          <w:szCs w:val="32"/>
          <w:lang w:val="en-US" w:eastAsia="zh-CN" w:bidi="ar-SA"/>
        </w:rPr>
        <w:t>　</w:t>
      </w:r>
      <w:r>
        <w:rPr>
          <w:rFonts w:hint="eastAsia" w:ascii="宋体" w:hAnsi="宋体" w:eastAsia="方正仿宋_GBK" w:cs="方正仿宋_GBK"/>
          <w:sz w:val="32"/>
          <w:szCs w:val="32"/>
          <w:lang w:val="en-US" w:eastAsia="zh-CN"/>
        </w:rPr>
        <w:t>工业企业生产多种产品的，应当单独核算实际取用水量，仅对用水效率达到国家用水定额先进值的产品用水量对应的水资源税进行减征。</w:t>
      </w:r>
    </w:p>
    <w:p w14:paraId="23FCDDF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黑体_GBK" w:cs="方正黑体_GBK"/>
          <w:color w:val="auto"/>
          <w:kern w:val="2"/>
          <w:sz w:val="32"/>
          <w:szCs w:val="32"/>
          <w:lang w:val="en-US" w:eastAsia="zh-CN" w:bidi="ar-SA"/>
        </w:rPr>
        <w:t>第五条</w:t>
      </w:r>
      <w:r>
        <w:rPr>
          <w:rFonts w:hint="eastAsia" w:eastAsia="方正黑体_GBK" w:cs="方正黑体_GBK"/>
          <w:color w:val="auto"/>
          <w:kern w:val="2"/>
          <w:sz w:val="32"/>
          <w:szCs w:val="32"/>
          <w:lang w:val="en-US" w:eastAsia="zh-CN" w:bidi="ar-SA"/>
        </w:rPr>
        <w:t>　</w:t>
      </w:r>
      <w:r>
        <w:rPr>
          <w:rFonts w:hint="eastAsia" w:ascii="方正仿宋_GBK" w:hAnsi="方正仿宋_GBK" w:eastAsia="方正仿宋_GBK" w:cs="方正仿宋_GBK"/>
          <w:color w:val="auto"/>
          <w:kern w:val="2"/>
          <w:sz w:val="32"/>
          <w:szCs w:val="32"/>
          <w:lang w:val="en-US" w:eastAsia="zh-CN" w:bidi="ar-SA"/>
        </w:rPr>
        <w:t>省水利厅、省财政厅、省税务局、省工业和信息化厅负责全省工业用水效率达到国家</w:t>
      </w:r>
      <w:r>
        <w:rPr>
          <w:rFonts w:hint="eastAsia" w:ascii="方正仿宋_GBK" w:hAnsi="方正仿宋_GBK" w:cs="方正仿宋_GBK"/>
          <w:color w:val="auto"/>
          <w:kern w:val="2"/>
          <w:sz w:val="32"/>
          <w:szCs w:val="32"/>
          <w:lang w:val="en-US" w:eastAsia="zh-CN" w:bidi="ar-SA"/>
        </w:rPr>
        <w:t>用水</w:t>
      </w:r>
      <w:r>
        <w:rPr>
          <w:rFonts w:hint="eastAsia" w:ascii="方正仿宋_GBK" w:hAnsi="方正仿宋_GBK" w:eastAsia="方正仿宋_GBK" w:cs="方正仿宋_GBK"/>
          <w:color w:val="auto"/>
          <w:kern w:val="2"/>
          <w:sz w:val="32"/>
          <w:szCs w:val="32"/>
          <w:lang w:val="en-US" w:eastAsia="zh-CN" w:bidi="ar-SA"/>
        </w:rPr>
        <w:t>定额先进值纳税人名单认定</w:t>
      </w:r>
      <w:r>
        <w:rPr>
          <w:rFonts w:hint="eastAsia" w:ascii="方正仿宋_GBK" w:hAnsi="方正仿宋_GBK" w:eastAsia="方正仿宋_GBK" w:cs="方正仿宋_GBK"/>
          <w:kern w:val="2"/>
          <w:sz w:val="32"/>
          <w:szCs w:val="32"/>
          <w:lang w:val="en-US" w:eastAsia="zh-CN" w:bidi="ar-SA"/>
        </w:rPr>
        <w:t>工作的指导、管理和监督。其中，水行政主管部门负责审核企业产品用水量与取用水信用评价等级，工业和信息化部门负责审核企业生产产品和产量，税务部门负责审核企业纳税信用评定等级，财政部门配合审核有关工作。</w:t>
      </w:r>
    </w:p>
    <w:p w14:paraId="17DB255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宋体" w:hAnsi="宋体" w:eastAsia="方正黑体_GBK" w:cs="方正黑体_GBK"/>
          <w:kern w:val="2"/>
          <w:sz w:val="32"/>
          <w:szCs w:val="32"/>
          <w:lang w:val="en-US" w:eastAsia="zh-CN" w:bidi="ar-SA"/>
        </w:rPr>
        <w:t>第六条</w:t>
      </w:r>
      <w:r>
        <w:rPr>
          <w:rFonts w:hint="eastAsia" w:eastAsia="方正黑体_GBK" w:cs="方正黑体_GBK"/>
          <w:kern w:val="2"/>
          <w:sz w:val="32"/>
          <w:szCs w:val="32"/>
          <w:lang w:val="en-US" w:eastAsia="zh-CN" w:bidi="ar-SA"/>
        </w:rPr>
        <w:t>　</w:t>
      </w:r>
      <w:r>
        <w:rPr>
          <w:rFonts w:hint="eastAsia" w:ascii="方正仿宋_GBK" w:hAnsi="方正仿宋_GBK" w:eastAsia="方正仿宋_GBK" w:cs="方正仿宋_GBK"/>
          <w:sz w:val="32"/>
          <w:szCs w:val="32"/>
          <w:lang w:val="en-US" w:eastAsia="zh-CN"/>
        </w:rPr>
        <w:t>云南省工业用水效率达到国家定额先进值纳税人名单认定程序如下：</w:t>
      </w:r>
    </w:p>
    <w:p w14:paraId="55A9E03D">
      <w:pPr>
        <w:ind w:firstLine="6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（一）企业申请。工业企业应在每年1月底前主动向负责日常监管的水行政主管部门提交用水效率达国家用水定额先进值申请资料（需加盖公章），包括但不限于：</w:t>
      </w:r>
    </w:p>
    <w:p w14:paraId="3EE1D7BB">
      <w:pPr>
        <w:ind w:firstLine="6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1.云南省工业用水</w:t>
      </w:r>
      <w:r>
        <w:rPr>
          <w:rFonts w:hint="eastAsia" w:ascii="方正仿宋_GBK" w:hAnsi="方正仿宋_GBK" w:cs="方正仿宋_GBK"/>
          <w:sz w:val="32"/>
          <w:szCs w:val="32"/>
          <w:lang w:val="en-US" w:eastAsia="zh-CN"/>
        </w:rPr>
        <w:t>效率</w:t>
      </w:r>
      <w:r>
        <w:rPr>
          <w:rFonts w:hint="eastAsia" w:ascii="方正仿宋_GBK" w:hAnsi="方正仿宋_GBK" w:eastAsia="方正仿宋_GBK" w:cs="方正仿宋_GBK"/>
          <w:sz w:val="32"/>
          <w:szCs w:val="32"/>
          <w:lang w:val="en-US" w:eastAsia="zh-CN"/>
        </w:rPr>
        <w:t>达国家定额先进值认定申请表</w:t>
      </w:r>
    </w:p>
    <w:p w14:paraId="6C9BC154">
      <w:pPr>
        <w:ind w:firstLine="6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2.前一年度产品产量及用水量证明材料</w:t>
      </w:r>
    </w:p>
    <w:p w14:paraId="6F284F91">
      <w:pPr>
        <w:ind w:firstLine="6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3.取水许可证</w:t>
      </w:r>
    </w:p>
    <w:p w14:paraId="0C901466">
      <w:pPr>
        <w:ind w:firstLine="6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4.前一年度缴纳水资源税票据</w:t>
      </w:r>
    </w:p>
    <w:p w14:paraId="77083CF7">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如有多种产品的，提供所有生产产品年用水量与年度总取水量关系的计算分析说明，并确保资料真实准确。</w:t>
      </w:r>
    </w:p>
    <w:p w14:paraId="00A2382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逐级审核。县级水行政主管部门会同同级财政、税务等部门对县级负责日常监管的企业申请资料进行初核，并将初核结果和申请资料汇总报送州（市）级水行政主管部门。州（市）级水行政主管部门会同同级财政、税务等部门对市级负责日常监管的企业申请资料进行审核，对县级初核过的有关材料开展复核，并在每年2月底前将审（复）核结果和申请资料汇总报送省水利厅。</w:t>
      </w:r>
    </w:p>
    <w:p w14:paraId="6C8FF35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（三）专家评审。省水利厅会同相关部门抽取组成专家组。专家组对企业申报材料进行评审，提出评审意见。</w:t>
      </w:r>
    </w:p>
    <w:p w14:paraId="023C628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（四）综合审查。省水利厅会同省财政厅、省税务局、省工业和信息化厅结合专家组评审意见，对申请企业进行综合审查。</w:t>
      </w:r>
    </w:p>
    <w:p w14:paraId="146785F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（五）名单公布。省水利厅会同省财政厅、省税务局、省工业和信息化厅对通过综合审查的本省工业用水前一年度用水效率达到国家用水定额先进值的工业企业名单进行公示，公示</w:t>
      </w:r>
      <w:r>
        <w:rPr>
          <w:rFonts w:hint="eastAsia" w:ascii="方正仿宋_GBK" w:hAnsi="方正仿宋_GBK" w:cs="方正仿宋_GBK"/>
          <w:sz w:val="32"/>
          <w:szCs w:val="32"/>
          <w:lang w:val="en-US" w:eastAsia="zh-CN"/>
        </w:rPr>
        <w:t>期限</w:t>
      </w:r>
      <w:r>
        <w:rPr>
          <w:rFonts w:hint="eastAsia" w:ascii="方正仿宋_GBK" w:hAnsi="方正仿宋_GBK" w:eastAsia="方正仿宋_GBK" w:cs="方正仿宋_GBK"/>
          <w:sz w:val="32"/>
          <w:szCs w:val="32"/>
          <w:lang w:val="en-US" w:eastAsia="zh-CN"/>
        </w:rPr>
        <w:t>为10个工作日，无异议的，由省水利厅会同相关部门在每年3月31日前公布名单；有异议的，由省水利厅会同相关部门进行核实处理。</w:t>
      </w:r>
    </w:p>
    <w:p w14:paraId="1212F5A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黑体_GBK" w:cs="方正黑体_GBK"/>
          <w:kern w:val="2"/>
          <w:sz w:val="32"/>
          <w:szCs w:val="32"/>
          <w:lang w:val="en-US" w:eastAsia="zh-CN" w:bidi="ar-SA"/>
        </w:rPr>
        <w:t>第七条</w:t>
      </w:r>
      <w:r>
        <w:rPr>
          <w:rFonts w:hint="eastAsia" w:eastAsia="方正黑体_GBK" w:cs="方正黑体_GBK"/>
          <w:kern w:val="2"/>
          <w:sz w:val="32"/>
          <w:szCs w:val="32"/>
          <w:lang w:val="en-US" w:eastAsia="zh-CN" w:bidi="ar-SA"/>
        </w:rPr>
        <w:t>　</w:t>
      </w:r>
      <w:r>
        <w:rPr>
          <w:rFonts w:hint="eastAsia" w:ascii="宋体" w:hAnsi="宋体" w:eastAsia="方正仿宋_GBK" w:cs="方正仿宋_GBK"/>
          <w:sz w:val="32"/>
          <w:szCs w:val="32"/>
          <w:lang w:val="en-US" w:eastAsia="zh-CN"/>
        </w:rPr>
        <w:t>工业企业对提交的申报材料的真实性、完整性和合法性负责。申报材料需经企业内部严格审核，确保无虚假信息。若发现工业企业存在</w:t>
      </w:r>
      <w:r>
        <w:rPr>
          <w:rFonts w:hint="eastAsia" w:ascii="宋体" w:hAnsi="宋体" w:eastAsia="方正仿宋_GBK" w:cs="方正黑体_GBK"/>
          <w:kern w:val="2"/>
          <w:sz w:val="32"/>
          <w:szCs w:val="32"/>
          <w:lang w:val="en-US" w:eastAsia="zh-CN" w:bidi="ar-SA"/>
        </w:rPr>
        <w:t>以虚假信息获得减税资格等其他不符合减税条件的，省水利厅应当会同相关部门及时对名单进行调整，并取消享受水资源税优惠政策资格，并根据《中华人民共和国税收征收管理法》及其实施细则、《中华人民共和国水法》及</w:t>
      </w:r>
      <w:r>
        <w:rPr>
          <w:rFonts w:hint="eastAsia" w:ascii="宋体" w:hAnsi="宋体" w:eastAsia="方正仿宋_GBK" w:cs="方正仿宋_GBK"/>
          <w:sz w:val="32"/>
          <w:szCs w:val="32"/>
          <w:lang w:val="en-US" w:eastAsia="zh-CN"/>
        </w:rPr>
        <w:t>《云南省关于实施取用水领域信用评价工作方案》（云水规〔2024〕6号）等有关规定追究法律责任。</w:t>
      </w:r>
    </w:p>
    <w:p w14:paraId="6774023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default" w:ascii="宋体" w:hAnsi="宋体" w:eastAsia="方正仿宋_GBK" w:cs="方正仿宋_GBK"/>
          <w:sz w:val="32"/>
          <w:szCs w:val="32"/>
          <w:lang w:val="en-US" w:eastAsia="zh-CN"/>
        </w:rPr>
      </w:pPr>
      <w:r>
        <w:rPr>
          <w:rFonts w:hint="eastAsia" w:ascii="宋体" w:hAnsi="宋体" w:eastAsia="方正黑体_GBK" w:cs="方正黑体_GBK"/>
          <w:kern w:val="2"/>
          <w:sz w:val="32"/>
          <w:szCs w:val="32"/>
          <w:lang w:val="en-US" w:eastAsia="zh-CN" w:bidi="ar-SA"/>
        </w:rPr>
        <w:t>第八条</w:t>
      </w:r>
      <w:r>
        <w:rPr>
          <w:rFonts w:hint="eastAsia" w:eastAsia="方正黑体_GBK" w:cs="方正黑体_GBK"/>
          <w:kern w:val="2"/>
          <w:sz w:val="32"/>
          <w:szCs w:val="32"/>
          <w:lang w:val="en-US" w:eastAsia="zh-CN" w:bidi="ar-SA"/>
        </w:rPr>
        <w:t>　</w:t>
      </w:r>
      <w:r>
        <w:rPr>
          <w:rFonts w:hint="default" w:ascii="宋体" w:hAnsi="宋体" w:eastAsia="方正仿宋_GBK" w:cs="方正仿宋_GBK"/>
          <w:sz w:val="32"/>
          <w:szCs w:val="32"/>
          <w:lang w:val="en-US" w:eastAsia="zh-CN"/>
        </w:rPr>
        <w:t>纳入名单的</w:t>
      </w:r>
      <w:r>
        <w:rPr>
          <w:rFonts w:hint="eastAsia" w:ascii="宋体" w:hAnsi="宋体" w:eastAsia="方正仿宋_GBK" w:cs="方正仿宋_GBK"/>
          <w:sz w:val="32"/>
          <w:szCs w:val="32"/>
          <w:lang w:val="en-US" w:eastAsia="zh-CN"/>
        </w:rPr>
        <w:t>工业企业</w:t>
      </w:r>
      <w:r>
        <w:rPr>
          <w:rFonts w:hint="default" w:ascii="宋体" w:hAnsi="宋体" w:eastAsia="方正仿宋_GBK" w:cs="方正仿宋_GBK"/>
          <w:sz w:val="32"/>
          <w:szCs w:val="32"/>
          <w:lang w:val="en-US" w:eastAsia="zh-CN"/>
        </w:rPr>
        <w:t>如在当年发生更名、重组或与认定条件有关重大变化情形的，应当自发生变化之日起10个工作日内</w:t>
      </w:r>
      <w:r>
        <w:rPr>
          <w:rFonts w:hint="eastAsia" w:cs="方正仿宋_GBK"/>
          <w:sz w:val="32"/>
          <w:szCs w:val="32"/>
          <w:lang w:val="en-US" w:eastAsia="zh-CN"/>
        </w:rPr>
        <w:t>按原程序</w:t>
      </w:r>
      <w:r>
        <w:rPr>
          <w:rFonts w:hint="default" w:ascii="宋体" w:hAnsi="宋体" w:eastAsia="方正仿宋_GBK" w:cs="方正仿宋_GBK"/>
          <w:sz w:val="32"/>
          <w:szCs w:val="32"/>
          <w:lang w:val="en-US" w:eastAsia="zh-CN"/>
        </w:rPr>
        <w:t>重新报送有关情况，并提供更名、重组等相关证明材料。省水利厅应当会同</w:t>
      </w:r>
      <w:r>
        <w:rPr>
          <w:rFonts w:hint="eastAsia" w:ascii="宋体" w:hAnsi="宋体" w:eastAsia="方正仿宋_GBK" w:cs="方正仿宋_GBK"/>
          <w:sz w:val="32"/>
          <w:szCs w:val="32"/>
          <w:lang w:val="en-US" w:eastAsia="zh-CN"/>
        </w:rPr>
        <w:t>相关</w:t>
      </w:r>
      <w:r>
        <w:rPr>
          <w:rFonts w:hint="default" w:ascii="宋体" w:hAnsi="宋体" w:eastAsia="方正仿宋_GBK" w:cs="方正仿宋_GBK"/>
          <w:sz w:val="32"/>
          <w:szCs w:val="32"/>
          <w:lang w:val="en-US" w:eastAsia="zh-CN"/>
        </w:rPr>
        <w:t>部门确定纳税人发生变更情形后是否符合享受优惠政策，及时对名单进行调整并</w:t>
      </w:r>
      <w:r>
        <w:rPr>
          <w:rFonts w:hint="eastAsia" w:ascii="宋体" w:hAnsi="宋体" w:eastAsia="方正仿宋_GBK" w:cs="方正仿宋_GBK"/>
          <w:sz w:val="32"/>
          <w:szCs w:val="32"/>
          <w:lang w:val="en-US" w:eastAsia="zh-CN"/>
        </w:rPr>
        <w:t>公示</w:t>
      </w:r>
      <w:r>
        <w:rPr>
          <w:rFonts w:hint="default" w:ascii="宋体" w:hAnsi="宋体" w:eastAsia="方正仿宋_GBK" w:cs="方正仿宋_GBK"/>
          <w:sz w:val="32"/>
          <w:szCs w:val="32"/>
          <w:lang w:val="en-US" w:eastAsia="zh-CN"/>
        </w:rPr>
        <w:t>。</w:t>
      </w:r>
    </w:p>
    <w:p w14:paraId="00DCFE4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宋体" w:hAnsi="宋体" w:eastAsia="方正仿宋_GBK" w:cs="方正仿宋_GBK"/>
          <w:sz w:val="32"/>
          <w:szCs w:val="32"/>
          <w:lang w:val="en-US" w:eastAsia="zh-CN"/>
        </w:rPr>
      </w:pPr>
      <w:r>
        <w:rPr>
          <w:rFonts w:hint="eastAsia" w:ascii="宋体" w:hAnsi="宋体" w:eastAsia="方正黑体_GBK" w:cs="方正黑体_GBK"/>
          <w:kern w:val="2"/>
          <w:sz w:val="32"/>
          <w:szCs w:val="32"/>
          <w:lang w:val="en-US" w:eastAsia="zh-CN" w:bidi="ar-SA"/>
        </w:rPr>
        <w:t>第九条</w:t>
      </w:r>
      <w:r>
        <w:rPr>
          <w:rFonts w:hint="eastAsia" w:eastAsia="方正黑体_GBK" w:cs="方正黑体_GBK"/>
          <w:kern w:val="2"/>
          <w:sz w:val="32"/>
          <w:szCs w:val="32"/>
          <w:lang w:val="en-US" w:eastAsia="zh-CN" w:bidi="ar-SA"/>
        </w:rPr>
        <w:t>　</w:t>
      </w:r>
      <w:r>
        <w:rPr>
          <w:rFonts w:hint="default" w:ascii="宋体" w:hAnsi="宋体" w:eastAsia="方正仿宋_GBK" w:cs="方正仿宋_GBK"/>
          <w:sz w:val="32"/>
          <w:szCs w:val="32"/>
          <w:lang w:val="en-US" w:eastAsia="zh-CN"/>
        </w:rPr>
        <w:t>纳入名单的</w:t>
      </w:r>
      <w:r>
        <w:rPr>
          <w:rFonts w:hint="eastAsia" w:ascii="宋体" w:hAnsi="宋体" w:eastAsia="方正仿宋_GBK" w:cs="方正仿宋_GBK"/>
          <w:sz w:val="32"/>
          <w:szCs w:val="32"/>
          <w:lang w:val="en-US" w:eastAsia="zh-CN"/>
        </w:rPr>
        <w:t>工业企业</w:t>
      </w:r>
      <w:r>
        <w:rPr>
          <w:rFonts w:hint="default" w:ascii="宋体" w:hAnsi="宋体" w:eastAsia="方正仿宋_GBK" w:cs="方正仿宋_GBK"/>
          <w:sz w:val="32"/>
          <w:szCs w:val="32"/>
          <w:lang w:val="en-US" w:eastAsia="zh-CN"/>
        </w:rPr>
        <w:t>存在无证取水、超许可取水、超计划取水、超采地下水、擅自改变取水用途等违法行为的，负责日常监管的水行政主管部门</w:t>
      </w:r>
      <w:r>
        <w:rPr>
          <w:rFonts w:hint="eastAsia" w:cs="方正仿宋_GBK"/>
          <w:sz w:val="32"/>
          <w:szCs w:val="32"/>
          <w:lang w:val="en-US" w:eastAsia="zh-CN"/>
        </w:rPr>
        <w:t>应</w:t>
      </w:r>
      <w:r>
        <w:rPr>
          <w:rFonts w:hint="default" w:ascii="宋体" w:hAnsi="宋体" w:eastAsia="方正仿宋_GBK" w:cs="方正仿宋_GBK"/>
          <w:sz w:val="32"/>
          <w:szCs w:val="32"/>
          <w:lang w:val="en-US" w:eastAsia="zh-CN"/>
        </w:rPr>
        <w:t>在确认违法行为之日起10个工作日内，</w:t>
      </w:r>
      <w:r>
        <w:rPr>
          <w:rFonts w:hint="eastAsia" w:ascii="宋体" w:hAnsi="宋体" w:eastAsia="方正仿宋_GBK" w:cs="方正仿宋_GBK"/>
          <w:i w:val="0"/>
          <w:iCs w:val="0"/>
          <w:caps w:val="0"/>
          <w:color w:val="auto"/>
          <w:spacing w:val="0"/>
          <w:sz w:val="32"/>
          <w:szCs w:val="32"/>
          <w:shd w:val="clear" w:fill="auto"/>
        </w:rPr>
        <w:t>将相关情况报告省水利厅。</w:t>
      </w:r>
      <w:r>
        <w:rPr>
          <w:rFonts w:hint="eastAsia" w:cs="方正仿宋_GBK"/>
        </w:rPr>
        <w:t>省水利厅在收到报告后，应会同相关部门依据</w:t>
      </w:r>
      <w:r>
        <w:rPr>
          <w:rFonts w:hint="eastAsia" w:cs="方正仿宋_GBK"/>
          <w:lang w:val="en-US" w:eastAsia="zh-CN"/>
        </w:rPr>
        <w:t>报告情况</w:t>
      </w:r>
      <w:r>
        <w:rPr>
          <w:rFonts w:hint="eastAsia" w:cs="方正仿宋_GBK"/>
        </w:rPr>
        <w:t>及时对名单进行调整并公示</w:t>
      </w:r>
      <w:r>
        <w:rPr>
          <w:rFonts w:hint="eastAsia" w:cs="方正仿宋_GBK"/>
          <w:lang w:eastAsia="zh-CN"/>
        </w:rPr>
        <w:t>。</w:t>
      </w:r>
      <w:r>
        <w:rPr>
          <w:rFonts w:hint="eastAsia" w:cs="方正仿宋_GBK"/>
          <w:sz w:val="32"/>
          <w:szCs w:val="32"/>
          <w:lang w:val="en-US" w:eastAsia="zh-CN"/>
        </w:rPr>
        <w:t>存在违法取用水行为的工业企业，</w:t>
      </w:r>
      <w:r>
        <w:rPr>
          <w:rFonts w:hint="default" w:ascii="宋体" w:hAnsi="宋体" w:eastAsia="方正仿宋_GBK" w:cs="方正仿宋_GBK"/>
          <w:sz w:val="32"/>
          <w:szCs w:val="32"/>
          <w:lang w:val="en-US" w:eastAsia="zh-CN"/>
        </w:rPr>
        <w:t>自违法</w:t>
      </w:r>
      <w:r>
        <w:rPr>
          <w:rFonts w:hint="eastAsia" w:cs="方正仿宋_GBK"/>
          <w:sz w:val="32"/>
          <w:szCs w:val="32"/>
          <w:lang w:val="en-US" w:eastAsia="zh-CN"/>
        </w:rPr>
        <w:t>行为</w:t>
      </w:r>
      <w:r>
        <w:rPr>
          <w:rFonts w:hint="default" w:ascii="宋体" w:hAnsi="宋体" w:eastAsia="方正仿宋_GBK" w:cs="方正仿宋_GBK"/>
          <w:sz w:val="32"/>
          <w:szCs w:val="32"/>
          <w:lang w:val="en-US" w:eastAsia="zh-CN"/>
        </w:rPr>
        <w:t>发生之月起不</w:t>
      </w:r>
      <w:r>
        <w:rPr>
          <w:rFonts w:hint="eastAsia" w:ascii="宋体" w:hAnsi="宋体" w:eastAsia="方正仿宋_GBK" w:cs="方正仿宋_GBK"/>
          <w:sz w:val="32"/>
          <w:szCs w:val="32"/>
          <w:lang w:val="en-US" w:eastAsia="zh-CN"/>
        </w:rPr>
        <w:t>再</w:t>
      </w:r>
      <w:r>
        <w:rPr>
          <w:rFonts w:hint="default" w:ascii="宋体" w:hAnsi="宋体" w:eastAsia="方正仿宋_GBK" w:cs="方正仿宋_GBK"/>
          <w:sz w:val="32"/>
          <w:szCs w:val="32"/>
          <w:lang w:val="en-US" w:eastAsia="zh-CN"/>
        </w:rPr>
        <w:t>享受</w:t>
      </w:r>
      <w:r>
        <w:rPr>
          <w:rFonts w:hint="eastAsia" w:cs="方正仿宋_GBK"/>
          <w:sz w:val="32"/>
          <w:szCs w:val="32"/>
          <w:lang w:val="en-US" w:eastAsia="zh-CN"/>
        </w:rPr>
        <w:t>相关</w:t>
      </w:r>
      <w:r>
        <w:rPr>
          <w:rFonts w:hint="default" w:ascii="宋体" w:hAnsi="宋体" w:eastAsia="方正仿宋_GBK" w:cs="方正仿宋_GBK"/>
          <w:sz w:val="32"/>
          <w:szCs w:val="32"/>
          <w:lang w:val="en-US" w:eastAsia="zh-CN"/>
        </w:rPr>
        <w:t>优惠政策。</w:t>
      </w:r>
    </w:p>
    <w:p w14:paraId="4A8DF07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宋体" w:hAnsi="宋体" w:eastAsia="方正仿宋_GBK" w:cs="方正仿宋_GBK"/>
          <w:sz w:val="32"/>
          <w:szCs w:val="32"/>
          <w:lang w:val="en-US" w:eastAsia="zh-CN"/>
        </w:rPr>
      </w:pPr>
      <w:r>
        <w:rPr>
          <w:rFonts w:hint="eastAsia" w:ascii="宋体" w:hAnsi="宋体" w:eastAsia="方正黑体_GBK" w:cs="方正黑体_GBK"/>
          <w:kern w:val="2"/>
          <w:sz w:val="32"/>
          <w:szCs w:val="32"/>
          <w:lang w:val="en-US" w:eastAsia="zh-CN" w:bidi="ar-SA"/>
        </w:rPr>
        <w:t>第十条</w:t>
      </w:r>
      <w:r>
        <w:rPr>
          <w:rFonts w:hint="eastAsia" w:eastAsia="方正黑体_GBK" w:cs="方正黑体_GBK"/>
          <w:kern w:val="2"/>
          <w:sz w:val="32"/>
          <w:szCs w:val="32"/>
          <w:lang w:val="en-US" w:eastAsia="zh-CN" w:bidi="ar-SA"/>
        </w:rPr>
        <w:t>　</w:t>
      </w:r>
      <w:bookmarkStart w:id="1" w:name="_GoBack"/>
      <w:bookmarkEnd w:id="1"/>
      <w:r>
        <w:rPr>
          <w:rFonts w:hint="eastAsia" w:ascii="宋体" w:hAnsi="宋体" w:eastAsia="方正仿宋_GBK" w:cs="方正仿宋_GBK"/>
          <w:sz w:val="32"/>
          <w:szCs w:val="32"/>
          <w:lang w:val="en-US" w:eastAsia="zh-CN"/>
        </w:rPr>
        <w:t>本办法自2026年××月××日起施行。</w:t>
      </w:r>
    </w:p>
    <w:p w14:paraId="48DCD29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textAlignment w:val="auto"/>
        <w:rPr>
          <w:rFonts w:hint="eastAsia" w:ascii="宋体" w:hAnsi="宋体" w:eastAsia="方正仿宋_GBK" w:cs="方正仿宋_GBK"/>
          <w:sz w:val="32"/>
          <w:szCs w:val="32"/>
          <w:lang w:val="en-US" w:eastAsia="zh-CN"/>
        </w:rPr>
      </w:pPr>
    </w:p>
    <w:bookmarkEnd w:id="0"/>
    <w:p w14:paraId="7F689AE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leftChars="0" w:right="0" w:firstLine="0" w:firstLineChars="0"/>
        <w:jc w:val="both"/>
        <w:textAlignment w:val="auto"/>
        <w:rPr>
          <w:rFonts w:hint="default" w:ascii="宋体" w:hAnsi="宋体" w:eastAsia="方正仿宋_GBK" w:cs="方正仿宋_GBK"/>
          <w:color w:val="000000"/>
          <w:kern w:val="2"/>
          <w:sz w:val="32"/>
          <w:szCs w:val="32"/>
          <w:lang w:val="en-US" w:eastAsia="zh-CN" w:bidi="ar-SA"/>
        </w:rPr>
      </w:pPr>
    </w:p>
    <w:sectPr>
      <w:footerReference r:id="rId5" w:type="default"/>
      <w:footerReference r:id="rId6" w:type="even"/>
      <w:pgSz w:w="11906" w:h="16838"/>
      <w:pgMar w:top="2098" w:right="1474" w:bottom="1984"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00000001" w:usb1="080E0000" w:usb2="00000000" w:usb3="00000000" w:csb0="00040000" w:csb1="00000000"/>
    <w:embedRegular r:id="rId1" w:fontKey="{CF9C4ED9-8DE1-46A6-8449-2CB764058C48}"/>
  </w:font>
  <w:font w:name="方正黑体_GBK">
    <w:panose1 w:val="03000509000000000000"/>
    <w:charset w:val="86"/>
    <w:family w:val="auto"/>
    <w:pitch w:val="default"/>
    <w:sig w:usb0="00000001" w:usb1="080E0000" w:usb2="00000000" w:usb3="00000000" w:csb0="00040000" w:csb1="00000000"/>
    <w:embedRegular r:id="rId2" w:fontKey="{23747A0B-D6D5-490E-AF86-B4CF721C616F}"/>
  </w:font>
  <w:font w:name="方正楷体_GBK">
    <w:panose1 w:val="02000000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0269CA34-6255-4356-ABD4-4A81547341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AE9D1">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4796790</wp:posOffset>
              </wp:positionH>
              <wp:positionV relativeFrom="paragraph">
                <wp:posOffset>-251460</wp:posOffset>
              </wp:positionV>
              <wp:extent cx="789305" cy="259715"/>
              <wp:effectExtent l="0" t="0" r="0" b="0"/>
              <wp:wrapNone/>
              <wp:docPr id="4" name="文本框 4"/>
              <wp:cNvGraphicFramePr/>
              <a:graphic xmlns:a="http://schemas.openxmlformats.org/drawingml/2006/main">
                <a:graphicData uri="http://schemas.microsoft.com/office/word/2010/wordprocessingShape">
                  <wps:wsp>
                    <wps:cNvSpPr txBox="1"/>
                    <wps:spPr>
                      <a:xfrm>
                        <a:off x="0" y="0"/>
                        <a:ext cx="789305" cy="259715"/>
                      </a:xfrm>
                      <a:prstGeom prst="rect">
                        <a:avLst/>
                      </a:prstGeom>
                      <a:noFill/>
                      <a:ln w="6350">
                        <a:noFill/>
                      </a:ln>
                      <a:effectLst/>
                    </wps:spPr>
                    <wps:txbx>
                      <w:txbxContent>
                        <w:p w14:paraId="013793BB">
                          <w:pPr>
                            <w:pStyle w:val="7"/>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77.7pt;margin-top:-19.8pt;height:20.45pt;width:62.15pt;mso-position-horizontal-relative:margin;z-index:251659264;mso-width-relative:page;mso-height-relative:page;" filled="f" stroked="f" coordsize="21600,21600" o:gfxdata="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v6xYfZAAAACQEAAA8AAAAAAAAAAQAgAAAAIgAA&#10;AGRycy9kb3ducmV2LnhtbFBLAQIUABQAAAAIAIdO4kDTq/J7QAIAAG8EAAAOAAAAAAAAAAEAIAAA&#10;ACgBAABkcnMvZTJvRG9jLnhtbFBLBQYAAAAABgAGAFkBAADaBQAAAAA=&#10;">
              <v:fill on="f" focussize="0,0"/>
              <v:stroke on="f" weight="0.5pt"/>
              <v:imagedata o:title=""/>
              <o:lock v:ext="edit" aspectratio="f"/>
              <v:textbox inset="0mm,0mm,0mm,0mm">
                <w:txbxContent>
                  <w:p w14:paraId="013793BB">
                    <w:pPr>
                      <w:pStyle w:val="7"/>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D4A3F">
    <w:pPr>
      <w:pStyle w:val="7"/>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posOffset>-3175</wp:posOffset>
              </wp:positionH>
              <wp:positionV relativeFrom="paragraph">
                <wp:posOffset>-254000</wp:posOffset>
              </wp:positionV>
              <wp:extent cx="896620" cy="2774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896620" cy="277495"/>
                      </a:xfrm>
                      <a:prstGeom prst="rect">
                        <a:avLst/>
                      </a:prstGeom>
                      <a:noFill/>
                      <a:ln w="6350">
                        <a:noFill/>
                      </a:ln>
                      <a:effectLst/>
                    </wps:spPr>
                    <wps:txbx>
                      <w:txbxContent>
                        <w:p w14:paraId="63480FB1">
                          <w:pPr>
                            <w:pStyle w:val="7"/>
                            <w:keepNext w:val="0"/>
                            <w:keepLines w:val="0"/>
                            <w:pageBreakBefore w:val="0"/>
                            <w:widowControl w:val="0"/>
                            <w:kinsoku/>
                            <w:wordWrap/>
                            <w:overflowPunct/>
                            <w:topLinePunct w:val="0"/>
                            <w:autoSpaceDE/>
                            <w:autoSpaceDN/>
                            <w:bidi w:val="0"/>
                            <w:adjustRightInd/>
                            <w:snapToGrid w:val="0"/>
                            <w:spacing w:line="240" w:lineRule="auto"/>
                            <w:ind w:left="0" w:leftChars="0"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25pt;margin-top:-20pt;height:21.85pt;width:70.6pt;mso-position-horizontal-relative:margin;z-index:251660288;mso-width-relative:page;mso-height-relative:page;" filled="f" stroked="f" coordsize="21600,21600" o:gfxdata="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9o06j1gAAAAcBAAAPAAAAAAAAAAEAIAAAACIAAABkcnMv&#10;ZG93bnJldi54bWxQSwECFAAUAAAACACHTuJAo+QhhT4CAABvBAAADgAAAAAAAAABACAAAAAlAQAA&#10;ZHJzL2Uyb0RvYy54bWxQSwUGAAAAAAYABgBZAQAA1QUAAAAA&#10;">
              <v:fill on="f" focussize="0,0"/>
              <v:stroke on="f" weight="0.5pt"/>
              <v:imagedata o:title=""/>
              <o:lock v:ext="edit" aspectratio="f"/>
              <v:textbox inset="0mm,0mm,0mm,0mm">
                <w:txbxContent>
                  <w:p w14:paraId="63480FB1">
                    <w:pPr>
                      <w:pStyle w:val="7"/>
                      <w:keepNext w:val="0"/>
                      <w:keepLines w:val="0"/>
                      <w:pageBreakBefore w:val="0"/>
                      <w:widowControl w:val="0"/>
                      <w:kinsoku/>
                      <w:wordWrap/>
                      <w:overflowPunct/>
                      <w:topLinePunct w:val="0"/>
                      <w:autoSpaceDE/>
                      <w:autoSpaceDN/>
                      <w:bidi w:val="0"/>
                      <w:adjustRightInd/>
                      <w:snapToGrid w:val="0"/>
                      <w:spacing w:line="240" w:lineRule="auto"/>
                      <w:ind w:left="0" w:leftChars="0"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4YWU2MjQ2ZjgyYzlmYWNhNmU4NDY1ZDk0OGJkODUifQ=="/>
  </w:docVars>
  <w:rsids>
    <w:rsidRoot w:val="00172A27"/>
    <w:rsid w:val="02E13F2E"/>
    <w:rsid w:val="043645F9"/>
    <w:rsid w:val="0A9B7FC2"/>
    <w:rsid w:val="0D284AA8"/>
    <w:rsid w:val="0DC0001E"/>
    <w:rsid w:val="122E4A50"/>
    <w:rsid w:val="15D614D1"/>
    <w:rsid w:val="16D329CC"/>
    <w:rsid w:val="18676FBD"/>
    <w:rsid w:val="19AA7A84"/>
    <w:rsid w:val="1A235520"/>
    <w:rsid w:val="1A49293E"/>
    <w:rsid w:val="1B6A1F70"/>
    <w:rsid w:val="1BC31F19"/>
    <w:rsid w:val="1D4A6CC3"/>
    <w:rsid w:val="1F7B3932"/>
    <w:rsid w:val="20B215A3"/>
    <w:rsid w:val="233E1DDF"/>
    <w:rsid w:val="24232AF8"/>
    <w:rsid w:val="26B751E1"/>
    <w:rsid w:val="26F908A6"/>
    <w:rsid w:val="2C5C04F3"/>
    <w:rsid w:val="304145E3"/>
    <w:rsid w:val="30D20C14"/>
    <w:rsid w:val="311714B3"/>
    <w:rsid w:val="323170A7"/>
    <w:rsid w:val="327D69E4"/>
    <w:rsid w:val="32EE22ED"/>
    <w:rsid w:val="33693030"/>
    <w:rsid w:val="35FC78A0"/>
    <w:rsid w:val="3682557A"/>
    <w:rsid w:val="383C2825"/>
    <w:rsid w:val="3B666B78"/>
    <w:rsid w:val="3BBF0197"/>
    <w:rsid w:val="3C7D6AF2"/>
    <w:rsid w:val="3D2A59EF"/>
    <w:rsid w:val="3FC14728"/>
    <w:rsid w:val="4174516F"/>
    <w:rsid w:val="41CB0000"/>
    <w:rsid w:val="424414A7"/>
    <w:rsid w:val="440B06D1"/>
    <w:rsid w:val="446420A7"/>
    <w:rsid w:val="44FE79B4"/>
    <w:rsid w:val="46636CFB"/>
    <w:rsid w:val="49FE5072"/>
    <w:rsid w:val="4A75387F"/>
    <w:rsid w:val="4B026297"/>
    <w:rsid w:val="4BCC2890"/>
    <w:rsid w:val="4C980A25"/>
    <w:rsid w:val="4D3D4149"/>
    <w:rsid w:val="51DE1B4D"/>
    <w:rsid w:val="520934A3"/>
    <w:rsid w:val="53E57531"/>
    <w:rsid w:val="54CE31C8"/>
    <w:rsid w:val="56652E6E"/>
    <w:rsid w:val="568F4B84"/>
    <w:rsid w:val="576654E8"/>
    <w:rsid w:val="58E078D8"/>
    <w:rsid w:val="592A00D8"/>
    <w:rsid w:val="5A1C78F0"/>
    <w:rsid w:val="5B022333"/>
    <w:rsid w:val="5B593F84"/>
    <w:rsid w:val="5CE91D7D"/>
    <w:rsid w:val="5E466562"/>
    <w:rsid w:val="60184E90"/>
    <w:rsid w:val="6238621F"/>
    <w:rsid w:val="65071890"/>
    <w:rsid w:val="65156A79"/>
    <w:rsid w:val="66851B16"/>
    <w:rsid w:val="66BC02D8"/>
    <w:rsid w:val="67507DF3"/>
    <w:rsid w:val="6B2521F5"/>
    <w:rsid w:val="6B644376"/>
    <w:rsid w:val="6B822971"/>
    <w:rsid w:val="6BC71D95"/>
    <w:rsid w:val="6D742874"/>
    <w:rsid w:val="6E914D0C"/>
    <w:rsid w:val="710A7485"/>
    <w:rsid w:val="71AB3EA7"/>
    <w:rsid w:val="735A74F0"/>
    <w:rsid w:val="74F91329"/>
    <w:rsid w:val="75B50EB7"/>
    <w:rsid w:val="76E055A5"/>
    <w:rsid w:val="77B21DB2"/>
    <w:rsid w:val="78276C23"/>
    <w:rsid w:val="7B4A4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8" w:lineRule="exact"/>
      <w:ind w:firstLine="420" w:firstLineChars="200"/>
      <w:jc w:val="both"/>
    </w:pPr>
    <w:rPr>
      <w:rFonts w:ascii="宋体" w:hAnsi="宋体" w:eastAsia="方正仿宋_GBK" w:cstheme="minorBidi"/>
      <w:kern w:val="2"/>
      <w:sz w:val="32"/>
      <w:szCs w:val="32"/>
      <w:lang w:val="en-US" w:eastAsia="zh-CN" w:bidi="ar-SA"/>
    </w:rPr>
  </w:style>
  <w:style w:type="paragraph" w:styleId="3">
    <w:name w:val="heading 1"/>
    <w:basedOn w:val="1"/>
    <w:next w:val="1"/>
    <w:qFormat/>
    <w:uiPriority w:val="0"/>
    <w:pPr>
      <w:keepNext/>
      <w:keepLines/>
      <w:spacing w:beforeLines="0" w:beforeAutospacing="0" w:afterLines="0" w:afterAutospacing="0" w:line="578" w:lineRule="exact"/>
      <w:outlineLvl w:val="0"/>
    </w:pPr>
    <w:rPr>
      <w:rFonts w:eastAsia="方正黑体_GBK"/>
      <w:kern w:val="44"/>
    </w:rPr>
  </w:style>
  <w:style w:type="paragraph" w:styleId="4">
    <w:name w:val="heading 2"/>
    <w:basedOn w:val="1"/>
    <w:next w:val="1"/>
    <w:unhideWhenUsed/>
    <w:qFormat/>
    <w:uiPriority w:val="0"/>
    <w:pPr>
      <w:keepNext/>
      <w:keepLines/>
      <w:spacing w:beforeLines="0" w:beforeAutospacing="0" w:afterLines="0" w:afterAutospacing="0" w:line="578" w:lineRule="exact"/>
      <w:outlineLvl w:val="1"/>
    </w:pPr>
    <w:rPr>
      <w:rFonts w:eastAsia="方正楷体_GBK"/>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160" w:afterAutospacing="0" w:line="276" w:lineRule="auto"/>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6">
    <w:name w:val="toa heading"/>
    <w:basedOn w:val="1"/>
    <w:next w:val="1"/>
    <w:unhideWhenUsed/>
    <w:qFormat/>
    <w:uiPriority w:val="99"/>
    <w:pPr>
      <w:spacing w:before="120" w:beforeLines="0" w:beforeAutospacing="0"/>
    </w:pPr>
    <w:rPr>
      <w:rFonts w:ascii="Arial" w:hAnsi="Arial"/>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文件名"/>
    <w:basedOn w:val="1"/>
    <w:next w:val="1"/>
    <w:qFormat/>
    <w:uiPriority w:val="0"/>
    <w:pPr>
      <w:spacing w:line="720" w:lineRule="exact"/>
      <w:ind w:firstLine="0" w:firstLineChars="0"/>
      <w:jc w:val="center"/>
    </w:pPr>
    <w:rPr>
      <w:rFonts w:eastAsia="方正小标宋_GBK"/>
      <w:sz w:val="44"/>
    </w:rPr>
  </w:style>
  <w:style w:type="character" w:customStyle="1" w:styleId="14">
    <w:name w:val="font31"/>
    <w:basedOn w:val="12"/>
    <w:qFormat/>
    <w:uiPriority w:val="0"/>
    <w:rPr>
      <w:rFonts w:hint="eastAsia" w:ascii="宋体" w:hAnsi="宋体" w:eastAsia="宋体" w:cs="宋体"/>
      <w:color w:val="000000"/>
      <w:sz w:val="20"/>
      <w:szCs w:val="20"/>
      <w:u w:val="none"/>
    </w:rPr>
  </w:style>
  <w:style w:type="character" w:customStyle="1" w:styleId="15">
    <w:name w:val="font101"/>
    <w:basedOn w:val="12"/>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5bcc592f-1bd2-44a7-99a2-9c29fd19617a</errorID>
      <errorWord>(</errorWord>
      <group>L1_Format</group>
      <groupName>格式问题</groupName>
      <ability>L2_HalfPunc</ability>
      <abilityName>全半角检查</abilityName>
      <candidateList>
        <item>（</item>
      </candidateList>
      <explain>文本全半角错误。</explain>
      <paraID>77C6FB2A</paraID>
      <start>54</start>
      <end>55</end>
      <status>modified</status>
      <modifiedWord>（</modifiedWord>
      <trackRevisions>false</trackRevisions>
    </reviewItem>
    <reviewItem>
      <errorID>2a411dd8-b7db-4237-b897-238459830df0</errorID>
      <errorWord>)</errorWord>
      <group>L1_Format</group>
      <groupName>格式问题</groupName>
      <ability>L2_HalfPunc</ability>
      <abilityName>全半角检查</abilityName>
      <candidateList>
        <item>）</item>
      </candidateList>
      <explain>文本全半角错误。</explain>
      <paraID>77C6FB2A</paraID>
      <start>66</start>
      <end>67</end>
      <status>modified</status>
      <modifiedWord>）</modifiedWord>
      <trackRevisions>false</trackRevisions>
    </reviewItem>
    <reviewItem>
      <errorID>56556c6e-2a42-4475-89f7-5070de86149d</errorID>
      <errorWord>应</errorWord>
      <group>L1_Word</group>
      <groupName>字词问题</groupName>
      <ability>L2_Typo</ability>
      <abilityName>字词错误</abilityName>
      <candidateList>
        <item>应当</item>
      </candidateList>
      <explain/>
      <paraID>  DCFE40</paraID>
      <start>67</start>
      <end>68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f60c3a-31a9-4395-bace-8c0e6515dddb}">
  <ds:schemaRefs/>
</ds:datastoreItem>
</file>

<file path=docProps/app.xml><?xml version="1.0" encoding="utf-8"?>
<Properties xmlns="http://schemas.openxmlformats.org/officeDocument/2006/extended-properties" xmlns:vt="http://schemas.openxmlformats.org/officeDocument/2006/docPropsVTypes">
  <Template>Normal.dotm</Template>
  <Company>省水利厅</Company>
  <Pages>4</Pages>
  <Words>1821</Words>
  <Characters>1851</Characters>
  <Lines>0</Lines>
  <Paragraphs>0</Paragraphs>
  <TotalTime>21</TotalTime>
  <ScaleCrop>false</ScaleCrop>
  <LinksUpToDate>false</LinksUpToDate>
  <CharactersWithSpaces>1883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2024-07-05T03:08:00Z</dcterms:created>
  <dc:creator>史丁康</dc:creator>
  <cp:lastModifiedBy>许杨</cp:lastModifiedBy>
  <cp:lastPrinted>2025-12-02T08:00:00Z</cp:lastPrinted>
  <dcterms:modified xsi:type="dcterms:W3CDTF">2025-12-03T08:56:54Z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16D91B8107294A83B21F28C392E2C314_13</vt:lpwstr>
  </property>
  <property fmtid="{D5CDD505-2E9C-101B-9397-08002B2CF9AE}" pid="4" name="KSOTemplateDocerSaveRecord">
    <vt:lpwstr>eyJoZGlkIjoiNjM0MDRiYmZmOGVjMGYwOWFlNGNiMmI2NjhjYTljNWYiLCJ1c2VySWQiOiIzNzc0NTE0NzcifQ==</vt:lpwstr>
  </property>
</Properties>
</file>