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outlineLvl w:val="9"/>
        <w:rPr>
          <w:rFonts w:hint="eastAsia" w:ascii="黑体" w:hAnsi="黑体" w:eastAsia="黑体" w:cs="黑体"/>
          <w:sz w:val="32"/>
        </w:rPr>
      </w:pPr>
      <w:bookmarkStart w:id="0" w:name="_GoBack"/>
      <w:bookmarkEnd w:id="0"/>
      <w:r>
        <w:rPr>
          <w:rFonts w:hint="eastAsia" w:ascii="黑体" w:hAnsi="黑体" w:eastAsia="黑体" w:cs="黑体"/>
          <w:sz w:val="32"/>
        </w:rPr>
        <w:t>附件1</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outlineLvl w:val="0"/>
        <w:rPr>
          <w:rFonts w:hint="eastAsia" w:ascii="方正小标宋简体" w:hAnsi="方正小标宋简体" w:eastAsia="方正小标宋简体" w:cs="方正小标宋简体"/>
          <w:sz w:val="44"/>
        </w:rPr>
      </w:pPr>
      <w:r>
        <w:rPr>
          <w:rFonts w:hint="eastAsia" w:ascii="方正小标宋简体" w:hAnsi="方正小标宋简体" w:eastAsia="方正小标宋简体" w:cs="方正小标宋简体"/>
          <w:sz w:val="44"/>
          <w:lang w:eastAsia="zh-CN"/>
        </w:rPr>
        <w:t>省水利厅</w:t>
      </w:r>
      <w:r>
        <w:rPr>
          <w:rFonts w:hint="eastAsia" w:ascii="方正小标宋简体" w:hAnsi="方正小标宋简体" w:eastAsia="方正小标宋简体" w:cs="方正小标宋简体"/>
          <w:sz w:val="44"/>
        </w:rPr>
        <w:t>涉企经营许可事项改革清单（2021年版）</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outlineLvl w:val="1"/>
        <w:rPr>
          <w:rFonts w:hint="eastAsia" w:ascii="楷体_GB2312" w:hAnsi="楷体_GB2312" w:eastAsia="楷体_GB2312" w:cs="楷体_GB2312"/>
          <w:sz w:val="32"/>
        </w:rPr>
      </w:pPr>
      <w:r>
        <w:rPr>
          <w:rFonts w:hint="eastAsia" w:ascii="楷体_GB2312" w:hAnsi="楷体_GB2312" w:eastAsia="楷体_GB2312" w:cs="楷体_GB2312"/>
          <w:sz w:val="32"/>
        </w:rPr>
        <w:t>（共</w:t>
      </w:r>
      <w:r>
        <w:rPr>
          <w:rFonts w:hint="eastAsia" w:ascii="楷体_GB2312" w:hAnsi="楷体_GB2312" w:eastAsia="楷体_GB2312" w:cs="楷体_GB2312"/>
          <w:sz w:val="32"/>
          <w:lang w:val="en-US" w:eastAsia="zh-CN"/>
        </w:rPr>
        <w:t>3</w:t>
      </w:r>
      <w:r>
        <w:rPr>
          <w:rFonts w:hint="eastAsia" w:ascii="楷体_GB2312" w:hAnsi="楷体_GB2312" w:eastAsia="楷体_GB2312" w:cs="楷体_GB2312"/>
          <w:sz w:val="32"/>
        </w:rPr>
        <w:t>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outlineLvl w:val="1"/>
        <w:rPr>
          <w:rFonts w:hint="eastAsia" w:ascii="楷体_GB2312" w:hAnsi="楷体_GB2312" w:eastAsia="楷体_GB2312" w:cs="楷体_GB2312"/>
          <w:sz w:val="32"/>
        </w:rPr>
      </w:pP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74"/>
        <w:gridCol w:w="694"/>
        <w:gridCol w:w="1167"/>
        <w:gridCol w:w="1682"/>
        <w:gridCol w:w="1366"/>
        <w:gridCol w:w="1030"/>
        <w:gridCol w:w="565"/>
        <w:gridCol w:w="565"/>
        <w:gridCol w:w="565"/>
        <w:gridCol w:w="565"/>
        <w:gridCol w:w="2420"/>
        <w:gridCol w:w="27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5" w:hRule="atLeast"/>
        </w:trPr>
        <w:tc>
          <w:tcPr>
            <w:tcW w:w="574"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序号</w:t>
            </w:r>
          </w:p>
        </w:tc>
        <w:tc>
          <w:tcPr>
            <w:tcW w:w="69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主管</w:t>
            </w:r>
            <w:r>
              <w:rPr>
                <w:rFonts w:hint="eastAsia" w:ascii="宋体" w:hAnsi="宋体" w:eastAsia="宋体" w:cs="宋体"/>
                <w:b/>
                <w:i w:val="0"/>
                <w:color w:val="000000"/>
                <w:kern w:val="0"/>
                <w:sz w:val="21"/>
                <w:szCs w:val="21"/>
                <w:u w:val="none"/>
                <w:lang w:val="en-US" w:eastAsia="zh-CN" w:bidi="ar"/>
              </w:rPr>
              <w:br w:type="textWrapping"/>
            </w:r>
            <w:r>
              <w:rPr>
                <w:rFonts w:hint="eastAsia" w:ascii="宋体" w:hAnsi="宋体" w:eastAsia="宋体" w:cs="宋体"/>
                <w:b/>
                <w:i w:val="0"/>
                <w:color w:val="000000"/>
                <w:kern w:val="0"/>
                <w:sz w:val="21"/>
                <w:szCs w:val="21"/>
                <w:u w:val="none"/>
                <w:lang w:val="en-US" w:eastAsia="zh-CN" w:bidi="ar"/>
              </w:rPr>
              <w:t>部门</w:t>
            </w:r>
          </w:p>
        </w:tc>
        <w:tc>
          <w:tcPr>
            <w:tcW w:w="116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改革</w:t>
            </w:r>
            <w:r>
              <w:rPr>
                <w:rFonts w:hint="eastAsia" w:ascii="宋体" w:hAnsi="宋体" w:eastAsia="宋体" w:cs="宋体"/>
                <w:b/>
                <w:i w:val="0"/>
                <w:color w:val="000000"/>
                <w:kern w:val="0"/>
                <w:sz w:val="21"/>
                <w:szCs w:val="21"/>
                <w:u w:val="none"/>
                <w:lang w:val="en-US" w:eastAsia="zh-CN" w:bidi="ar"/>
              </w:rPr>
              <w:br w:type="textWrapping"/>
            </w:r>
            <w:r>
              <w:rPr>
                <w:rFonts w:hint="eastAsia" w:ascii="宋体" w:hAnsi="宋体" w:eastAsia="宋体" w:cs="宋体"/>
                <w:b/>
                <w:i w:val="0"/>
                <w:color w:val="000000"/>
                <w:kern w:val="0"/>
                <w:sz w:val="21"/>
                <w:szCs w:val="21"/>
                <w:u w:val="none"/>
                <w:lang w:val="en-US" w:eastAsia="zh-CN" w:bidi="ar"/>
              </w:rPr>
              <w:t>事项</w:t>
            </w:r>
          </w:p>
        </w:tc>
        <w:tc>
          <w:tcPr>
            <w:tcW w:w="168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许可证件</w:t>
            </w:r>
            <w:r>
              <w:rPr>
                <w:rFonts w:hint="eastAsia" w:ascii="宋体" w:hAnsi="宋体" w:eastAsia="宋体" w:cs="宋体"/>
                <w:b/>
                <w:i w:val="0"/>
                <w:color w:val="000000"/>
                <w:kern w:val="0"/>
                <w:sz w:val="21"/>
                <w:szCs w:val="21"/>
                <w:u w:val="none"/>
                <w:lang w:val="en-US" w:eastAsia="zh-CN" w:bidi="ar"/>
              </w:rPr>
              <w:br w:type="textWrapping"/>
            </w:r>
            <w:r>
              <w:rPr>
                <w:rFonts w:hint="eastAsia" w:ascii="宋体" w:hAnsi="宋体" w:eastAsia="宋体" w:cs="宋体"/>
                <w:b/>
                <w:i w:val="0"/>
                <w:color w:val="000000"/>
                <w:kern w:val="0"/>
                <w:sz w:val="21"/>
                <w:szCs w:val="21"/>
                <w:u w:val="none"/>
                <w:lang w:val="en-US" w:eastAsia="zh-CN" w:bidi="ar"/>
              </w:rPr>
              <w:t>名称</w:t>
            </w:r>
          </w:p>
        </w:tc>
        <w:tc>
          <w:tcPr>
            <w:tcW w:w="136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设定</w:t>
            </w:r>
            <w:r>
              <w:rPr>
                <w:rFonts w:hint="eastAsia" w:ascii="宋体" w:hAnsi="宋体" w:eastAsia="宋体" w:cs="宋体"/>
                <w:b/>
                <w:i w:val="0"/>
                <w:color w:val="000000"/>
                <w:kern w:val="0"/>
                <w:sz w:val="21"/>
                <w:szCs w:val="21"/>
                <w:u w:val="none"/>
                <w:lang w:val="en-US" w:eastAsia="zh-CN" w:bidi="ar"/>
              </w:rPr>
              <w:br w:type="textWrapping"/>
            </w:r>
            <w:r>
              <w:rPr>
                <w:rFonts w:hint="eastAsia" w:ascii="宋体" w:hAnsi="宋体" w:eastAsia="宋体" w:cs="宋体"/>
                <w:b/>
                <w:i w:val="0"/>
                <w:color w:val="000000"/>
                <w:kern w:val="0"/>
                <w:sz w:val="21"/>
                <w:szCs w:val="21"/>
                <w:u w:val="none"/>
                <w:lang w:val="en-US" w:eastAsia="zh-CN" w:bidi="ar"/>
              </w:rPr>
              <w:t>依据</w:t>
            </w:r>
          </w:p>
        </w:tc>
        <w:tc>
          <w:tcPr>
            <w:tcW w:w="10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审批层级</w:t>
            </w:r>
            <w:r>
              <w:rPr>
                <w:rFonts w:hint="eastAsia" w:ascii="宋体" w:hAnsi="宋体" w:eastAsia="宋体" w:cs="宋体"/>
                <w:b/>
                <w:i w:val="0"/>
                <w:color w:val="000000"/>
                <w:kern w:val="0"/>
                <w:sz w:val="21"/>
                <w:szCs w:val="21"/>
                <w:u w:val="none"/>
                <w:lang w:val="en-US" w:eastAsia="zh-CN" w:bidi="ar"/>
              </w:rPr>
              <w:br w:type="textWrapping"/>
            </w:r>
            <w:r>
              <w:rPr>
                <w:rFonts w:hint="eastAsia" w:ascii="宋体" w:hAnsi="宋体" w:eastAsia="宋体" w:cs="宋体"/>
                <w:b/>
                <w:i w:val="0"/>
                <w:color w:val="000000"/>
                <w:kern w:val="0"/>
                <w:sz w:val="21"/>
                <w:szCs w:val="21"/>
                <w:u w:val="none"/>
                <w:lang w:val="en-US" w:eastAsia="zh-CN" w:bidi="ar"/>
              </w:rPr>
              <w:t>和部门</w:t>
            </w:r>
          </w:p>
        </w:tc>
        <w:tc>
          <w:tcPr>
            <w:tcW w:w="2260"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改革方式</w:t>
            </w:r>
          </w:p>
        </w:tc>
        <w:tc>
          <w:tcPr>
            <w:tcW w:w="242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具体改革举措</w:t>
            </w:r>
          </w:p>
        </w:tc>
        <w:tc>
          <w:tcPr>
            <w:tcW w:w="278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加强事中事后监管措施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1" w:hRule="atLeast"/>
        </w:trPr>
        <w:tc>
          <w:tcPr>
            <w:tcW w:w="57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i w:val="0"/>
                <w:color w:val="000000"/>
                <w:sz w:val="21"/>
                <w:szCs w:val="21"/>
                <w:u w:val="none"/>
              </w:rPr>
            </w:pPr>
          </w:p>
        </w:tc>
        <w:tc>
          <w:tcPr>
            <w:tcW w:w="69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1"/>
                <w:szCs w:val="21"/>
                <w:u w:val="none"/>
              </w:rPr>
            </w:pPr>
          </w:p>
        </w:tc>
        <w:tc>
          <w:tcPr>
            <w:tcW w:w="116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1"/>
                <w:szCs w:val="21"/>
                <w:u w:val="none"/>
              </w:rPr>
            </w:pPr>
          </w:p>
        </w:tc>
        <w:tc>
          <w:tcPr>
            <w:tcW w:w="13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1"/>
                <w:szCs w:val="21"/>
                <w:u w:val="none"/>
              </w:rPr>
            </w:pPr>
          </w:p>
        </w:tc>
        <w:tc>
          <w:tcPr>
            <w:tcW w:w="10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1"/>
                <w:szCs w:val="21"/>
                <w:u w:val="none"/>
              </w:rPr>
            </w:pPr>
          </w:p>
        </w:tc>
        <w:tc>
          <w:tcPr>
            <w:tcW w:w="5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直接取消审批</w:t>
            </w:r>
          </w:p>
        </w:tc>
        <w:tc>
          <w:tcPr>
            <w:tcW w:w="5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审批改为备案</w:t>
            </w:r>
          </w:p>
        </w:tc>
        <w:tc>
          <w:tcPr>
            <w:tcW w:w="5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实行告知承诺</w:t>
            </w:r>
          </w:p>
        </w:tc>
        <w:tc>
          <w:tcPr>
            <w:tcW w:w="5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优化审批服务</w:t>
            </w:r>
          </w:p>
        </w:tc>
        <w:tc>
          <w:tcPr>
            <w:tcW w:w="242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i w:val="0"/>
                <w:color w:val="000000"/>
                <w:sz w:val="21"/>
                <w:szCs w:val="21"/>
                <w:u w:val="none"/>
              </w:rPr>
            </w:pPr>
          </w:p>
        </w:tc>
        <w:tc>
          <w:tcPr>
            <w:tcW w:w="278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3120" w:hRule="atLeast"/>
        </w:trPr>
        <w:tc>
          <w:tcPr>
            <w:tcW w:w="57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cs="宋体"/>
                <w:i w:val="0"/>
                <w:color w:val="000000"/>
                <w:kern w:val="0"/>
                <w:sz w:val="21"/>
                <w:szCs w:val="21"/>
                <w:u w:val="none"/>
                <w:lang w:val="en-US" w:eastAsia="zh-CN" w:bidi="ar"/>
              </w:rPr>
              <w:t>1</w:t>
            </w:r>
          </w:p>
        </w:tc>
        <w:tc>
          <w:tcPr>
            <w:tcW w:w="6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cs="宋体"/>
                <w:i w:val="0"/>
                <w:color w:val="000000"/>
                <w:kern w:val="0"/>
                <w:sz w:val="21"/>
                <w:szCs w:val="21"/>
                <w:u w:val="none"/>
                <w:lang w:val="en-US" w:eastAsia="zh-CN" w:bidi="ar"/>
              </w:rPr>
              <w:t>云南省水利厅</w:t>
            </w:r>
          </w:p>
        </w:tc>
        <w:tc>
          <w:tcPr>
            <w:tcW w:w="11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水利工程质量检测单位资质认定（乙级）</w:t>
            </w:r>
          </w:p>
        </w:tc>
        <w:tc>
          <w:tcPr>
            <w:tcW w:w="16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水利工程质量检测单位资质等级证书（乙级）</w:t>
            </w:r>
          </w:p>
        </w:tc>
        <w:tc>
          <w:tcPr>
            <w:tcW w:w="13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《国务院对确需保留的行政审批项目设定行政许可的决定》</w:t>
            </w:r>
          </w:p>
        </w:tc>
        <w:tc>
          <w:tcPr>
            <w:tcW w:w="10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省级水利部门</w:t>
            </w:r>
          </w:p>
        </w:tc>
        <w:tc>
          <w:tcPr>
            <w:tcW w:w="5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5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24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制作并公布告知承诺</w:t>
            </w:r>
            <w:r>
              <w:rPr>
                <w:rFonts w:hint="eastAsia" w:ascii="宋体" w:hAnsi="宋体" w:cs="宋体"/>
                <w:i w:val="0"/>
                <w:color w:val="000000"/>
                <w:kern w:val="0"/>
                <w:sz w:val="21"/>
                <w:szCs w:val="21"/>
                <w:u w:val="none"/>
                <w:lang w:val="en-US" w:eastAsia="zh-CN" w:bidi="ar"/>
              </w:rPr>
              <w:t>书</w:t>
            </w:r>
            <w:r>
              <w:rPr>
                <w:rFonts w:hint="eastAsia" w:ascii="宋体" w:hAnsi="宋体" w:eastAsia="宋体" w:cs="宋体"/>
                <w:i w:val="0"/>
                <w:color w:val="000000"/>
                <w:kern w:val="0"/>
                <w:sz w:val="21"/>
                <w:szCs w:val="21"/>
                <w:u w:val="none"/>
                <w:lang w:val="en-US" w:eastAsia="zh-CN" w:bidi="ar"/>
              </w:rPr>
              <w:t>格式文本，一次性告知申请人许可条件和所需材料。对申请人</w:t>
            </w:r>
            <w:r>
              <w:rPr>
                <w:rFonts w:hint="eastAsia" w:ascii="宋体" w:hAnsi="宋体" w:cs="宋体"/>
                <w:i w:val="0"/>
                <w:color w:val="000000"/>
                <w:kern w:val="0"/>
                <w:sz w:val="21"/>
                <w:szCs w:val="21"/>
                <w:u w:val="none"/>
                <w:lang w:val="en-US" w:eastAsia="zh-CN" w:bidi="ar"/>
              </w:rPr>
              <w:t>自愿</w:t>
            </w:r>
            <w:r>
              <w:rPr>
                <w:rFonts w:hint="eastAsia" w:ascii="宋体" w:hAnsi="宋体" w:eastAsia="宋体" w:cs="宋体"/>
                <w:i w:val="0"/>
                <w:color w:val="000000"/>
                <w:kern w:val="0"/>
                <w:sz w:val="21"/>
                <w:szCs w:val="21"/>
                <w:u w:val="none"/>
                <w:lang w:val="en-US" w:eastAsia="zh-CN" w:bidi="ar"/>
              </w:rPr>
              <w:t>承诺符合许可条件并按要求提交材料的，当场作出许可决定。</w:t>
            </w:r>
          </w:p>
        </w:tc>
        <w:tc>
          <w:tcPr>
            <w:tcW w:w="27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1.开展“双随机、一公开”监管，对投诉举报多的单位实施重点监管，加强对企业承诺内容真实性的核查，发现虚假承诺或者承诺严重不实的要依法处理。2</w:t>
            </w:r>
            <w:r>
              <w:rPr>
                <w:rFonts w:hint="eastAsia" w:ascii="宋体" w:hAnsi="宋体" w:cs="宋体"/>
                <w:i w:val="0"/>
                <w:color w:val="000000"/>
                <w:kern w:val="0"/>
                <w:sz w:val="21"/>
                <w:szCs w:val="21"/>
                <w:u w:val="none"/>
                <w:lang w:val="en-US" w:eastAsia="zh-CN" w:bidi="ar"/>
              </w:rPr>
              <w:t>.</w:t>
            </w:r>
            <w:r>
              <w:rPr>
                <w:rFonts w:hint="eastAsia" w:ascii="宋体" w:hAnsi="宋体" w:eastAsia="宋体" w:cs="宋体"/>
                <w:i w:val="0"/>
                <w:color w:val="000000"/>
                <w:kern w:val="0"/>
                <w:sz w:val="21"/>
                <w:szCs w:val="21"/>
                <w:u w:val="none"/>
                <w:lang w:val="en-US" w:eastAsia="zh-CN" w:bidi="ar"/>
              </w:rPr>
              <w:t>加强信用监管，依法向社会公布水利工程质量检测单位（乙级）信用状况，依法依规对失信主体加大抽查比例并开展失信惩戒。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3480" w:hRule="atLeast"/>
        </w:trPr>
        <w:tc>
          <w:tcPr>
            <w:tcW w:w="57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cs="宋体"/>
                <w:i w:val="0"/>
                <w:color w:val="000000"/>
                <w:kern w:val="0"/>
                <w:sz w:val="21"/>
                <w:szCs w:val="21"/>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cs="宋体"/>
                <w:i w:val="0"/>
                <w:color w:val="000000"/>
                <w:kern w:val="0"/>
                <w:sz w:val="21"/>
                <w:szCs w:val="21"/>
                <w:u w:val="none"/>
                <w:lang w:val="en-US" w:eastAsia="zh-CN" w:bidi="ar"/>
              </w:rPr>
              <w:t>云南省水利厅</w:t>
            </w:r>
          </w:p>
        </w:tc>
        <w:tc>
          <w:tcPr>
            <w:tcW w:w="11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河道（含长江）采砂许可</w:t>
            </w:r>
          </w:p>
        </w:tc>
        <w:tc>
          <w:tcPr>
            <w:tcW w:w="16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河道采砂许可证、长江河道采砂许可证</w:t>
            </w:r>
          </w:p>
        </w:tc>
        <w:tc>
          <w:tcPr>
            <w:tcW w:w="13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《中华人民共和国水法》《中华人民共和国河道管理条例》《长江河道采砂管理条例》</w:t>
            </w:r>
          </w:p>
        </w:tc>
        <w:tc>
          <w:tcPr>
            <w:tcW w:w="10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有关流域</w:t>
            </w:r>
            <w:r>
              <w:rPr>
                <w:rFonts w:hint="eastAsia" w:ascii="宋体" w:hAnsi="宋体" w:cs="宋体"/>
                <w:i w:val="0"/>
                <w:color w:val="000000"/>
                <w:kern w:val="0"/>
                <w:sz w:val="21"/>
                <w:szCs w:val="21"/>
                <w:u w:val="none"/>
                <w:lang w:val="en-US" w:eastAsia="zh-CN" w:bidi="ar"/>
              </w:rPr>
              <w:t>管理</w:t>
            </w:r>
            <w:r>
              <w:rPr>
                <w:rFonts w:hint="eastAsia" w:ascii="宋体" w:hAnsi="宋体" w:eastAsia="宋体" w:cs="宋体"/>
                <w:i w:val="0"/>
                <w:color w:val="000000"/>
                <w:kern w:val="0"/>
                <w:sz w:val="21"/>
                <w:szCs w:val="21"/>
                <w:u w:val="none"/>
                <w:lang w:val="en-US" w:eastAsia="zh-CN" w:bidi="ar"/>
              </w:rPr>
              <w:t>机构</w:t>
            </w:r>
            <w:r>
              <w:rPr>
                <w:rFonts w:hint="eastAsia" w:ascii="宋体" w:hAnsi="宋体" w:cs="宋体"/>
                <w:i w:val="0"/>
                <w:color w:val="000000"/>
                <w:kern w:val="0"/>
                <w:sz w:val="21"/>
                <w:szCs w:val="21"/>
                <w:u w:val="none"/>
                <w:lang w:val="en-US" w:eastAsia="zh-CN" w:bidi="ar"/>
              </w:rPr>
              <w:t>；</w:t>
            </w:r>
            <w:r>
              <w:rPr>
                <w:rFonts w:hint="eastAsia" w:ascii="宋体" w:hAnsi="宋体" w:eastAsia="宋体" w:cs="宋体"/>
                <w:i w:val="0"/>
                <w:color w:val="000000"/>
                <w:kern w:val="0"/>
                <w:sz w:val="21"/>
                <w:szCs w:val="21"/>
                <w:u w:val="none"/>
                <w:lang w:val="en-US" w:eastAsia="zh-CN" w:bidi="ar"/>
              </w:rPr>
              <w:t>县级以上地方水利</w:t>
            </w:r>
            <w:r>
              <w:rPr>
                <w:rFonts w:hint="eastAsia" w:ascii="宋体" w:hAnsi="宋体" w:cs="宋体"/>
                <w:i w:val="0"/>
                <w:color w:val="000000"/>
                <w:kern w:val="0"/>
                <w:sz w:val="21"/>
                <w:szCs w:val="21"/>
                <w:u w:val="none"/>
                <w:lang w:val="en-US" w:eastAsia="zh-CN" w:bidi="ar"/>
              </w:rPr>
              <w:t>部</w:t>
            </w:r>
            <w:r>
              <w:rPr>
                <w:rFonts w:hint="eastAsia" w:ascii="宋体" w:hAnsi="宋体" w:eastAsia="宋体" w:cs="宋体"/>
                <w:i w:val="0"/>
                <w:color w:val="000000"/>
                <w:kern w:val="0"/>
                <w:sz w:val="21"/>
                <w:szCs w:val="21"/>
                <w:u w:val="none"/>
                <w:lang w:val="en-US" w:eastAsia="zh-CN" w:bidi="ar"/>
              </w:rPr>
              <w:t>门</w:t>
            </w:r>
          </w:p>
        </w:tc>
        <w:tc>
          <w:tcPr>
            <w:tcW w:w="5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24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1.加强河道采砂规划编制审批，实行年度采量控制，及时向社会公布可采区、可采期、可采量。2.对公益性采砂减少审批环节，对符合相关工程建设项目程序的，不再同时开展河道（含长江）采砂</w:t>
            </w:r>
            <w:r>
              <w:rPr>
                <w:rFonts w:hint="eastAsia" w:ascii="宋体" w:hAnsi="宋体" w:cs="宋体"/>
                <w:i w:val="0"/>
                <w:color w:val="000000"/>
                <w:kern w:val="0"/>
                <w:sz w:val="21"/>
                <w:szCs w:val="21"/>
                <w:u w:val="none"/>
                <w:lang w:val="en-US" w:eastAsia="zh-CN" w:bidi="ar"/>
              </w:rPr>
              <w:t>行政</w:t>
            </w:r>
            <w:r>
              <w:rPr>
                <w:rFonts w:hint="eastAsia" w:ascii="宋体" w:hAnsi="宋体" w:eastAsia="宋体" w:cs="宋体"/>
                <w:i w:val="0"/>
                <w:color w:val="000000"/>
                <w:kern w:val="0"/>
                <w:sz w:val="21"/>
                <w:szCs w:val="21"/>
                <w:u w:val="none"/>
                <w:lang w:val="en-US" w:eastAsia="zh-CN" w:bidi="ar"/>
              </w:rPr>
              <w:t>许可。3.采取灵活的许可实施方式，各地可结合实际采取招标等公平竞争的方式实施许可。4.鼓励和支持河砂统一开采管理。</w:t>
            </w:r>
          </w:p>
        </w:tc>
        <w:tc>
          <w:tcPr>
            <w:tcW w:w="27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1.落实河道采砂管理河长、水行政主管部门、现场监管部门和行政执法部门四方责任。2.开展“四不两直”暗访，加强对采砂情况的监督</w:t>
            </w:r>
            <w:r>
              <w:rPr>
                <w:rFonts w:hint="eastAsia" w:ascii="宋体" w:hAnsi="宋体" w:cs="宋体"/>
                <w:i w:val="0"/>
                <w:color w:val="000000"/>
                <w:kern w:val="0"/>
                <w:sz w:val="21"/>
                <w:szCs w:val="21"/>
                <w:u w:val="none"/>
                <w:lang w:val="en-US" w:eastAsia="zh-CN" w:bidi="ar"/>
              </w:rPr>
              <w:t>检查</w:t>
            </w:r>
            <w:r>
              <w:rPr>
                <w:rFonts w:hint="eastAsia" w:ascii="宋体" w:hAnsi="宋体" w:eastAsia="宋体" w:cs="宋体"/>
                <w:i w:val="0"/>
                <w:color w:val="000000"/>
                <w:kern w:val="0"/>
                <w:sz w:val="21"/>
                <w:szCs w:val="21"/>
                <w:u w:val="none"/>
                <w:lang w:val="en-US" w:eastAsia="zh-CN" w:bidi="ar"/>
              </w:rPr>
              <w:t>。3.对长江干流实行砂石采运管理单制度，加强采砂现场及运输环节监管。4.运用卫星遥感、</w:t>
            </w:r>
            <w:r>
              <w:rPr>
                <w:rFonts w:hint="eastAsia" w:ascii="宋体" w:hAnsi="宋体" w:cs="宋体"/>
                <w:i w:val="0"/>
                <w:color w:val="000000"/>
                <w:kern w:val="0"/>
                <w:sz w:val="21"/>
                <w:szCs w:val="21"/>
                <w:u w:val="none"/>
                <w:lang w:val="en-US" w:eastAsia="zh-CN" w:bidi="ar"/>
              </w:rPr>
              <w:t>卫星导航定位、</w:t>
            </w:r>
            <w:r>
              <w:rPr>
                <w:rFonts w:hint="eastAsia" w:ascii="宋体" w:hAnsi="宋体" w:eastAsia="宋体" w:cs="宋体"/>
                <w:i w:val="0"/>
                <w:color w:val="000000"/>
                <w:kern w:val="0"/>
                <w:sz w:val="21"/>
                <w:szCs w:val="21"/>
                <w:u w:val="none"/>
                <w:lang w:val="en-US" w:eastAsia="zh-CN" w:bidi="ar"/>
              </w:rPr>
              <w:t>视频监</w:t>
            </w:r>
            <w:r>
              <w:rPr>
                <w:rFonts w:hint="eastAsia" w:ascii="宋体" w:hAnsi="宋体" w:cs="宋体"/>
                <w:i w:val="0"/>
                <w:color w:val="000000"/>
                <w:kern w:val="0"/>
                <w:sz w:val="21"/>
                <w:szCs w:val="21"/>
                <w:u w:val="none"/>
                <w:lang w:val="en-US" w:eastAsia="zh-CN" w:bidi="ar"/>
              </w:rPr>
              <w:t>控</w:t>
            </w:r>
            <w:r>
              <w:rPr>
                <w:rFonts w:hint="eastAsia" w:ascii="宋体" w:hAnsi="宋体" w:eastAsia="宋体" w:cs="宋体"/>
                <w:i w:val="0"/>
                <w:color w:val="000000"/>
                <w:kern w:val="0"/>
                <w:sz w:val="21"/>
                <w:szCs w:val="21"/>
                <w:u w:val="none"/>
                <w:lang w:val="en-US" w:eastAsia="zh-CN" w:bidi="ar"/>
              </w:rPr>
              <w:t>、无人机航测等技术手段进行动态监控</w:t>
            </w:r>
            <w:r>
              <w:rPr>
                <w:rFonts w:hint="eastAsia" w:ascii="宋体" w:hAnsi="宋体" w:cs="宋体"/>
                <w:i w:val="0"/>
                <w:color w:val="000000"/>
                <w:kern w:val="0"/>
                <w:sz w:val="21"/>
                <w:szCs w:val="21"/>
                <w:u w:val="none"/>
                <w:lang w:val="en-US" w:eastAsia="zh-CN" w:bidi="ar"/>
              </w:rPr>
              <w:t>。</w:t>
            </w:r>
            <w:r>
              <w:rPr>
                <w:rFonts w:hint="eastAsia" w:ascii="宋体" w:hAnsi="宋体" w:eastAsia="宋体" w:cs="宋体"/>
                <w:i w:val="0"/>
                <w:color w:val="000000"/>
                <w:kern w:val="0"/>
                <w:sz w:val="21"/>
                <w:szCs w:val="21"/>
                <w:u w:val="none"/>
                <w:lang w:val="en-US" w:eastAsia="zh-CN" w:bidi="ar"/>
              </w:rPr>
              <w:t>5.依法及时处理投诉举报。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6040" w:hRule="atLeast"/>
        </w:trPr>
        <w:tc>
          <w:tcPr>
            <w:tcW w:w="57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cs="宋体"/>
                <w:i w:val="0"/>
                <w:color w:val="000000"/>
                <w:kern w:val="0"/>
                <w:sz w:val="21"/>
                <w:szCs w:val="21"/>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cs="宋体"/>
                <w:i w:val="0"/>
                <w:color w:val="000000"/>
                <w:kern w:val="0"/>
                <w:sz w:val="21"/>
                <w:szCs w:val="21"/>
                <w:u w:val="none"/>
                <w:lang w:val="en-US" w:eastAsia="zh-CN" w:bidi="ar"/>
              </w:rPr>
              <w:t>云南省水利厅</w:t>
            </w:r>
          </w:p>
        </w:tc>
        <w:tc>
          <w:tcPr>
            <w:tcW w:w="11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取水许可</w:t>
            </w:r>
          </w:p>
        </w:tc>
        <w:tc>
          <w:tcPr>
            <w:tcW w:w="16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取水许可证</w:t>
            </w:r>
          </w:p>
        </w:tc>
        <w:tc>
          <w:tcPr>
            <w:tcW w:w="13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《中华人民共和国水法》《</w:t>
            </w:r>
            <w:r>
              <w:rPr>
                <w:rFonts w:hint="eastAsia" w:ascii="宋体" w:hAnsi="宋体" w:cs="宋体"/>
                <w:i w:val="0"/>
                <w:color w:val="000000"/>
                <w:kern w:val="0"/>
                <w:sz w:val="21"/>
                <w:szCs w:val="21"/>
                <w:u w:val="none"/>
                <w:lang w:val="en-US" w:eastAsia="zh-CN" w:bidi="ar"/>
              </w:rPr>
              <w:t>取水许可和水资源费征收管理条例</w:t>
            </w:r>
            <w:r>
              <w:rPr>
                <w:rFonts w:hint="eastAsia" w:ascii="宋体" w:hAnsi="宋体" w:eastAsia="宋体" w:cs="宋体"/>
                <w:i w:val="0"/>
                <w:color w:val="000000"/>
                <w:kern w:val="0"/>
                <w:sz w:val="21"/>
                <w:szCs w:val="21"/>
                <w:u w:val="none"/>
                <w:lang w:val="en-US" w:eastAsia="zh-CN" w:bidi="ar"/>
              </w:rPr>
              <w:t>》</w:t>
            </w:r>
          </w:p>
        </w:tc>
        <w:tc>
          <w:tcPr>
            <w:tcW w:w="10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流域</w:t>
            </w:r>
            <w:r>
              <w:rPr>
                <w:rFonts w:hint="eastAsia" w:ascii="宋体" w:hAnsi="宋体" w:cs="宋体"/>
                <w:i w:val="0"/>
                <w:color w:val="000000"/>
                <w:kern w:val="0"/>
                <w:sz w:val="21"/>
                <w:szCs w:val="21"/>
                <w:u w:val="none"/>
                <w:lang w:val="en-US" w:eastAsia="zh-CN" w:bidi="ar"/>
              </w:rPr>
              <w:t>管理</w:t>
            </w:r>
            <w:r>
              <w:rPr>
                <w:rFonts w:hint="eastAsia" w:ascii="宋体" w:hAnsi="宋体" w:eastAsia="宋体" w:cs="宋体"/>
                <w:i w:val="0"/>
                <w:color w:val="000000"/>
                <w:kern w:val="0"/>
                <w:sz w:val="21"/>
                <w:szCs w:val="21"/>
                <w:u w:val="none"/>
                <w:lang w:val="en-US" w:eastAsia="zh-CN" w:bidi="ar"/>
              </w:rPr>
              <w:t>机构</w:t>
            </w:r>
            <w:r>
              <w:rPr>
                <w:rFonts w:hint="eastAsia" w:ascii="宋体" w:hAnsi="宋体" w:cs="宋体"/>
                <w:i w:val="0"/>
                <w:color w:val="000000"/>
                <w:kern w:val="0"/>
                <w:sz w:val="21"/>
                <w:szCs w:val="21"/>
                <w:u w:val="none"/>
                <w:lang w:val="en-US" w:eastAsia="zh-CN" w:bidi="ar"/>
              </w:rPr>
              <w:t>；</w:t>
            </w:r>
            <w:r>
              <w:rPr>
                <w:rFonts w:hint="eastAsia" w:ascii="宋体" w:hAnsi="宋体" w:eastAsia="宋体" w:cs="宋体"/>
                <w:i w:val="0"/>
                <w:color w:val="000000"/>
                <w:kern w:val="0"/>
                <w:sz w:val="21"/>
                <w:szCs w:val="21"/>
                <w:u w:val="none"/>
                <w:lang w:val="en-US" w:eastAsia="zh-CN" w:bidi="ar"/>
              </w:rPr>
              <w:t>县级以上地方水利部门</w:t>
            </w:r>
          </w:p>
        </w:tc>
        <w:tc>
          <w:tcPr>
            <w:tcW w:w="5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24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1.在各类开发区、工业园区、新区和其他有条件的区域，推行水资源论证区域评估，对已实施水资源论证区域评估范围内的建设项目推行取水许可告知承诺制。2.按国务院统一部署，推</w:t>
            </w:r>
            <w:r>
              <w:rPr>
                <w:rFonts w:hint="eastAsia" w:ascii="宋体" w:hAnsi="宋体" w:cs="宋体"/>
                <w:i w:val="0"/>
                <w:color w:val="000000"/>
                <w:kern w:val="0"/>
                <w:sz w:val="21"/>
                <w:szCs w:val="21"/>
                <w:u w:val="none"/>
                <w:lang w:val="en-US" w:eastAsia="zh-CN" w:bidi="ar"/>
              </w:rPr>
              <w:t>广</w:t>
            </w:r>
            <w:r>
              <w:rPr>
                <w:rFonts w:hint="eastAsia" w:ascii="宋体" w:hAnsi="宋体" w:eastAsia="宋体" w:cs="宋体"/>
                <w:i w:val="0"/>
                <w:color w:val="000000"/>
                <w:kern w:val="0"/>
                <w:sz w:val="21"/>
                <w:szCs w:val="21"/>
                <w:u w:val="none"/>
                <w:lang w:val="en-US" w:eastAsia="zh-CN" w:bidi="ar"/>
              </w:rPr>
              <w:t>取水许可电子许可证，实现申请、审批全程网上办理。3.简化优化建设项目水资源论证管理要求，实行报告表、报告书分类管理，对取水量较小、用水工艺简单且取退水影响小的项目推行报告表管理。4.简化技术审查环节，细化明确报告书技术审查标准，报告书技术审查时限由30个工作日压减至20个工作日（不含报告书修改时间）。对报告表实行备案承诺制，不再组织技术审查，由水利部门直接审核。</w:t>
            </w:r>
          </w:p>
        </w:tc>
        <w:tc>
          <w:tcPr>
            <w:tcW w:w="27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1.开展“双随机</w:t>
            </w:r>
            <w:r>
              <w:rPr>
                <w:rFonts w:hint="eastAsia" w:ascii="宋体" w:hAnsi="宋体" w:cs="宋体"/>
                <w:i w:val="0"/>
                <w:color w:val="000000"/>
                <w:kern w:val="0"/>
                <w:sz w:val="21"/>
                <w:szCs w:val="21"/>
                <w:u w:val="none"/>
                <w:lang w:val="en-US" w:eastAsia="zh-CN" w:bidi="ar"/>
              </w:rPr>
              <w:t>、</w:t>
            </w:r>
            <w:r>
              <w:rPr>
                <w:rFonts w:hint="eastAsia" w:ascii="宋体" w:hAnsi="宋体" w:eastAsia="宋体" w:cs="宋体"/>
                <w:i w:val="0"/>
                <w:color w:val="000000"/>
                <w:kern w:val="0"/>
                <w:sz w:val="21"/>
                <w:szCs w:val="21"/>
                <w:u w:val="none"/>
                <w:lang w:val="en-US" w:eastAsia="zh-CN" w:bidi="ar"/>
              </w:rPr>
              <w:t>一公开”监管，发现取水单位和个人取用水、有关技术单位编制报告中存在违法行为的，要依法查处并向社会公开。2.加强信用监管，将取水单位和个人的相关违法信息纳入社会征信体系，依法依规对失信主体开展失信惩戒。</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w:t>
            </w:r>
          </w:p>
        </w:tc>
      </w:tr>
    </w:tbl>
    <w:p/>
    <w:p>
      <w:r>
        <w:br w:type="page"/>
      </w:r>
    </w:p>
    <w:sectPr>
      <w:pgSz w:w="16838" w:h="11906" w:orient="landscape"/>
      <w:pgMar w:top="1800" w:right="1440" w:bottom="1800" w:left="1440" w:header="851" w:footer="992" w:gutter="0"/>
      <w:cols w:space="720"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55A">
      <wne:acd wne:acdName="acd0"/>
    </wne:keymap>
    <wne:keymap wne:kcmPrimary="0553">
      <wne:acd wne:acdName="acd1"/>
    </wne:keymap>
  </wne:keymaps>
  <wne:acds>
    <wne:acd wne:argValue="AgBsUYdlOgBja4dl" wne:acdName="acd0" wne:fciIndexBasedOn="0065"/>
    <wne:acd wne:argValue="AgBsUYdlOgBja4dlKAApf9uPKQA=" wne:acdName="acd1"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65764C"/>
    <w:rsid w:val="187E21AA"/>
    <w:rsid w:val="23F42BF7"/>
    <w:rsid w:val="2A4674C9"/>
    <w:rsid w:val="2AD62633"/>
    <w:rsid w:val="3734205E"/>
    <w:rsid w:val="387E2BC4"/>
    <w:rsid w:val="4FBA6677"/>
    <w:rsid w:val="5D556CAB"/>
    <w:rsid w:val="61CB3495"/>
    <w:rsid w:val="64EFDBBC"/>
    <w:rsid w:val="654B0268"/>
    <w:rsid w:val="673222D8"/>
    <w:rsid w:val="67BBB8A1"/>
    <w:rsid w:val="68796B75"/>
    <w:rsid w:val="6B0FC46D"/>
    <w:rsid w:val="6EAD5393"/>
    <w:rsid w:val="76560E8D"/>
    <w:rsid w:val="7EAA5B07"/>
    <w:rsid w:val="CBFCED58"/>
    <w:rsid w:val="D4BE2DC5"/>
    <w:rsid w:val="FFF76E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Style w:val="2"/>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microsoft.com/office/2006/relationships/keyMapCustomizations" Target="customizations.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1178</Words>
  <Characters>1200</Characters>
  <Lines>0</Lines>
  <Paragraphs>0</Paragraphs>
  <TotalTime>17</TotalTime>
  <ScaleCrop>false</ScaleCrop>
  <LinksUpToDate>false</LinksUpToDate>
  <CharactersWithSpaces>1201</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2020-09-10T16:54:00Z</dcterms:created>
  <dc:creator>THTF</dc:creator>
  <cp:lastModifiedBy>杨希娴</cp:lastModifiedBy>
  <cp:lastPrinted>2021-09-07T09:20:31Z</cp:lastPrinted>
  <dcterms:modified xsi:type="dcterms:W3CDTF">2022-08-05T09:42:10Z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112B0986666847F4B02E577D44B05699</vt:lpwstr>
  </property>
</Properties>
</file>