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ind w:left="0" w:leftChars="0" w:firstLine="0" w:firstLineChars="0"/>
        <w:jc w:val="left"/>
        <w:rPr>
          <w:rFonts w:hint="eastAsia" w:ascii="宋体" w:hAnsi="宋体" w:eastAsia="方正黑体_GBK" w:cs="方正黑体_GBK"/>
          <w:b/>
          <w:bCs/>
          <w:sz w:val="32"/>
          <w:szCs w:val="32"/>
        </w:rPr>
      </w:pPr>
      <w:r>
        <w:rPr>
          <w:rFonts w:hint="eastAsia" w:ascii="宋体" w:hAnsi="宋体" w:eastAsia="方正黑体_GBK" w:cs="方正黑体_GBK"/>
          <w:b/>
          <w:bCs/>
          <w:sz w:val="32"/>
          <w:szCs w:val="32"/>
        </w:rPr>
        <w:t>附件</w:t>
      </w:r>
      <w:bookmarkStart w:id="0" w:name="_GoBack"/>
      <w:bookmarkEnd w:id="0"/>
    </w:p>
    <w:p>
      <w:pPr>
        <w:snapToGrid w:val="0"/>
        <w:spacing w:line="580" w:lineRule="exact"/>
        <w:ind w:firstLine="0"/>
        <w:jc w:val="center"/>
        <w:rPr>
          <w:rFonts w:hint="eastAsia" w:ascii="宋体" w:hAnsi="宋体" w:eastAsia="方正小标宋_GBK" w:cs="方正小标宋_GBK"/>
          <w:sz w:val="44"/>
          <w:szCs w:val="44"/>
        </w:rPr>
      </w:pPr>
      <w:r>
        <w:rPr>
          <w:rFonts w:hint="eastAsia" w:ascii="宋体" w:hAnsi="宋体" w:eastAsia="方正小标宋_GBK" w:cs="方正小标宋_GBK"/>
          <w:sz w:val="44"/>
          <w:szCs w:val="44"/>
        </w:rPr>
        <w:t>水土保持方案特性表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4"/>
        <w:gridCol w:w="672"/>
        <w:gridCol w:w="61"/>
        <w:gridCol w:w="314"/>
        <w:gridCol w:w="556"/>
        <w:gridCol w:w="646"/>
        <w:gridCol w:w="443"/>
        <w:gridCol w:w="1096"/>
        <w:gridCol w:w="383"/>
        <w:gridCol w:w="399"/>
        <w:gridCol w:w="107"/>
        <w:gridCol w:w="290"/>
        <w:gridCol w:w="424"/>
        <w:gridCol w:w="554"/>
        <w:gridCol w:w="777"/>
        <w:gridCol w:w="34"/>
        <w:gridCol w:w="139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1" w:type="dxa"/>
            <w:gridSpan w:val="4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3124" w:type="dxa"/>
            <w:gridSpan w:val="5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西畴至富宁高速公路工程</w:t>
            </w:r>
          </w:p>
        </w:tc>
        <w:tc>
          <w:tcPr>
            <w:tcW w:w="2585" w:type="dxa"/>
            <w:gridSpan w:val="7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流域管理机构</w:t>
            </w:r>
          </w:p>
        </w:tc>
        <w:tc>
          <w:tcPr>
            <w:tcW w:w="1392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珠江水利委员会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1" w:type="dxa"/>
            <w:gridSpan w:val="4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涉及省（市、区）</w:t>
            </w:r>
          </w:p>
        </w:tc>
        <w:tc>
          <w:tcPr>
            <w:tcW w:w="1645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云南省</w:t>
            </w:r>
          </w:p>
        </w:tc>
        <w:tc>
          <w:tcPr>
            <w:tcW w:w="1479" w:type="dxa"/>
            <w:gridSpan w:val="2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涉及地市或个数</w:t>
            </w:r>
          </w:p>
        </w:tc>
        <w:tc>
          <w:tcPr>
            <w:tcW w:w="1220" w:type="dxa"/>
            <w:gridSpan w:val="4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文山州</w:t>
            </w:r>
          </w:p>
        </w:tc>
        <w:tc>
          <w:tcPr>
            <w:tcW w:w="1365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涉及县或个数</w:t>
            </w:r>
          </w:p>
        </w:tc>
        <w:tc>
          <w:tcPr>
            <w:tcW w:w="1392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西畴县、麻栗坡县、富宁县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1" w:type="dxa"/>
            <w:gridSpan w:val="4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项目规模</w:t>
            </w:r>
          </w:p>
        </w:tc>
        <w:tc>
          <w:tcPr>
            <w:tcW w:w="1645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主线118.485km，田蓬支线15.014km，连接线43.020km</w:t>
            </w:r>
          </w:p>
        </w:tc>
        <w:tc>
          <w:tcPr>
            <w:tcW w:w="1479" w:type="dxa"/>
            <w:gridSpan w:val="2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总投资（万元）</w:t>
            </w:r>
          </w:p>
        </w:tc>
        <w:tc>
          <w:tcPr>
            <w:tcW w:w="1220" w:type="dxa"/>
            <w:gridSpan w:val="4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2604568.29</w:t>
            </w:r>
          </w:p>
        </w:tc>
        <w:tc>
          <w:tcPr>
            <w:tcW w:w="1365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土建投资（万元）</w:t>
            </w:r>
          </w:p>
        </w:tc>
        <w:tc>
          <w:tcPr>
            <w:tcW w:w="1392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1950747.47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1" w:type="dxa"/>
            <w:gridSpan w:val="4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开工时间</w:t>
            </w:r>
          </w:p>
        </w:tc>
        <w:tc>
          <w:tcPr>
            <w:tcW w:w="1645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2023年1月</w:t>
            </w:r>
          </w:p>
        </w:tc>
        <w:tc>
          <w:tcPr>
            <w:tcW w:w="1479" w:type="dxa"/>
            <w:gridSpan w:val="2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完工时间</w:t>
            </w:r>
          </w:p>
        </w:tc>
        <w:tc>
          <w:tcPr>
            <w:tcW w:w="1220" w:type="dxa"/>
            <w:gridSpan w:val="4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2026年12月</w:t>
            </w:r>
          </w:p>
        </w:tc>
        <w:tc>
          <w:tcPr>
            <w:tcW w:w="1365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设计水平年</w:t>
            </w:r>
          </w:p>
        </w:tc>
        <w:tc>
          <w:tcPr>
            <w:tcW w:w="1392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2027年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1" w:type="dxa"/>
            <w:gridSpan w:val="4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工程占地（hm²）</w:t>
            </w:r>
          </w:p>
        </w:tc>
        <w:tc>
          <w:tcPr>
            <w:tcW w:w="1645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1193.36</w:t>
            </w:r>
          </w:p>
        </w:tc>
        <w:tc>
          <w:tcPr>
            <w:tcW w:w="1479" w:type="dxa"/>
            <w:gridSpan w:val="2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永久占地（hm²）</w:t>
            </w:r>
          </w:p>
        </w:tc>
        <w:tc>
          <w:tcPr>
            <w:tcW w:w="1220" w:type="dxa"/>
            <w:gridSpan w:val="4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739.40</w:t>
            </w:r>
          </w:p>
        </w:tc>
        <w:tc>
          <w:tcPr>
            <w:tcW w:w="1365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临时占地（hm²）</w:t>
            </w:r>
          </w:p>
        </w:tc>
        <w:tc>
          <w:tcPr>
            <w:tcW w:w="1392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453.96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066" w:type="dxa"/>
            <w:gridSpan w:val="7"/>
            <w:vMerge w:val="restart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土石方量（万m³）</w:t>
            </w:r>
          </w:p>
        </w:tc>
        <w:tc>
          <w:tcPr>
            <w:tcW w:w="1479" w:type="dxa"/>
            <w:gridSpan w:val="2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挖方</w:t>
            </w:r>
          </w:p>
        </w:tc>
        <w:tc>
          <w:tcPr>
            <w:tcW w:w="1220" w:type="dxa"/>
            <w:gridSpan w:val="4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填方</w:t>
            </w:r>
          </w:p>
        </w:tc>
        <w:tc>
          <w:tcPr>
            <w:tcW w:w="1365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借方</w:t>
            </w:r>
          </w:p>
        </w:tc>
        <w:tc>
          <w:tcPr>
            <w:tcW w:w="1392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余（弃）方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066" w:type="dxa"/>
            <w:gridSpan w:val="7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79" w:type="dxa"/>
            <w:gridSpan w:val="2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5213.67</w:t>
            </w:r>
          </w:p>
        </w:tc>
        <w:tc>
          <w:tcPr>
            <w:tcW w:w="1220" w:type="dxa"/>
            <w:gridSpan w:val="4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2743.19</w:t>
            </w:r>
          </w:p>
        </w:tc>
        <w:tc>
          <w:tcPr>
            <w:tcW w:w="1365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392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2470.48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066" w:type="dxa"/>
            <w:gridSpan w:val="7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  <w:highlight w:val="green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重点防治区名称</w:t>
            </w:r>
          </w:p>
        </w:tc>
        <w:tc>
          <w:tcPr>
            <w:tcW w:w="5456" w:type="dxa"/>
            <w:gridSpan w:val="10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  <w:highlight w:val="green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滇黔桂/滇东岩溶石漠化国家级水土流失重点治理区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066" w:type="dxa"/>
            <w:gridSpan w:val="7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地貌类型</w:t>
            </w:r>
          </w:p>
        </w:tc>
        <w:tc>
          <w:tcPr>
            <w:tcW w:w="1878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构造侵蚀地貌、溶蚀侵蚀地貌、岩溶地貌</w:t>
            </w:r>
          </w:p>
        </w:tc>
        <w:tc>
          <w:tcPr>
            <w:tcW w:w="2152" w:type="dxa"/>
            <w:gridSpan w:val="5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水土保持区划</w:t>
            </w:r>
          </w:p>
        </w:tc>
        <w:tc>
          <w:tcPr>
            <w:tcW w:w="1426" w:type="dxa"/>
            <w:gridSpan w:val="2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西南岩溶区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066" w:type="dxa"/>
            <w:gridSpan w:val="7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土壤侵蚀类型</w:t>
            </w:r>
          </w:p>
        </w:tc>
        <w:tc>
          <w:tcPr>
            <w:tcW w:w="1878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水力侵蚀</w:t>
            </w:r>
          </w:p>
        </w:tc>
        <w:tc>
          <w:tcPr>
            <w:tcW w:w="2152" w:type="dxa"/>
            <w:gridSpan w:val="5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土壤侵蚀强度</w:t>
            </w:r>
          </w:p>
        </w:tc>
        <w:tc>
          <w:tcPr>
            <w:tcW w:w="1426" w:type="dxa"/>
            <w:gridSpan w:val="2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轻度侵蚀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066" w:type="dxa"/>
            <w:gridSpan w:val="7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防治责任范围面积（hm²）</w:t>
            </w:r>
          </w:p>
        </w:tc>
        <w:tc>
          <w:tcPr>
            <w:tcW w:w="1878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1193.36</w:t>
            </w:r>
          </w:p>
        </w:tc>
        <w:tc>
          <w:tcPr>
            <w:tcW w:w="2152" w:type="dxa"/>
            <w:gridSpan w:val="5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容许土壤流失量［t/（km²·a）］</w:t>
            </w:r>
          </w:p>
        </w:tc>
        <w:tc>
          <w:tcPr>
            <w:tcW w:w="1426" w:type="dxa"/>
            <w:gridSpan w:val="2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500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066" w:type="dxa"/>
            <w:gridSpan w:val="7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水土流失预测总量（t）</w:t>
            </w:r>
          </w:p>
        </w:tc>
        <w:tc>
          <w:tcPr>
            <w:tcW w:w="1878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112739.05</w:t>
            </w:r>
          </w:p>
        </w:tc>
        <w:tc>
          <w:tcPr>
            <w:tcW w:w="2152" w:type="dxa"/>
            <w:gridSpan w:val="5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新增土壤流失量（t）</w:t>
            </w:r>
          </w:p>
        </w:tc>
        <w:tc>
          <w:tcPr>
            <w:tcW w:w="1426" w:type="dxa"/>
            <w:gridSpan w:val="2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85666.55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066" w:type="dxa"/>
            <w:gridSpan w:val="7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水土流失防治标准执行等级</w:t>
            </w:r>
          </w:p>
        </w:tc>
        <w:tc>
          <w:tcPr>
            <w:tcW w:w="5456" w:type="dxa"/>
            <w:gridSpan w:val="10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西南岩溶区一级标准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312" w:hRule="atLeast"/>
          <w:jc w:val="center"/>
        </w:trPr>
        <w:tc>
          <w:tcPr>
            <w:tcW w:w="1046" w:type="dxa"/>
            <w:gridSpan w:val="2"/>
            <w:vMerge w:val="restart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防治指标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（综合值）</w:t>
            </w:r>
          </w:p>
        </w:tc>
        <w:tc>
          <w:tcPr>
            <w:tcW w:w="2020" w:type="dxa"/>
            <w:gridSpan w:val="5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水土流失治理度（%）</w:t>
            </w:r>
          </w:p>
        </w:tc>
        <w:tc>
          <w:tcPr>
            <w:tcW w:w="1878" w:type="dxa"/>
            <w:gridSpan w:val="3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97</w:t>
            </w:r>
          </w:p>
        </w:tc>
        <w:tc>
          <w:tcPr>
            <w:tcW w:w="2152" w:type="dxa"/>
            <w:gridSpan w:val="5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土壤流失控制比</w:t>
            </w:r>
          </w:p>
        </w:tc>
        <w:tc>
          <w:tcPr>
            <w:tcW w:w="1426" w:type="dxa"/>
            <w:gridSpan w:val="2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1.0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020" w:type="dxa"/>
            <w:gridSpan w:val="5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渣土防护率（%）</w:t>
            </w:r>
          </w:p>
        </w:tc>
        <w:tc>
          <w:tcPr>
            <w:tcW w:w="1878" w:type="dxa"/>
            <w:gridSpan w:val="3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92</w:t>
            </w:r>
          </w:p>
        </w:tc>
        <w:tc>
          <w:tcPr>
            <w:tcW w:w="2152" w:type="dxa"/>
            <w:gridSpan w:val="5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表土保护率（%）</w:t>
            </w:r>
          </w:p>
        </w:tc>
        <w:tc>
          <w:tcPr>
            <w:tcW w:w="1426" w:type="dxa"/>
            <w:gridSpan w:val="2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95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020" w:type="dxa"/>
            <w:gridSpan w:val="5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林草植被恢复率（%）</w:t>
            </w:r>
          </w:p>
        </w:tc>
        <w:tc>
          <w:tcPr>
            <w:tcW w:w="1878" w:type="dxa"/>
            <w:gridSpan w:val="3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96</w:t>
            </w:r>
          </w:p>
        </w:tc>
        <w:tc>
          <w:tcPr>
            <w:tcW w:w="2152" w:type="dxa"/>
            <w:gridSpan w:val="5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林草覆盖率（%）</w:t>
            </w:r>
          </w:p>
        </w:tc>
        <w:tc>
          <w:tcPr>
            <w:tcW w:w="1426" w:type="dxa"/>
            <w:gridSpan w:val="2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23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gridSpan w:val="2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防治措施及工程量</w:t>
            </w:r>
          </w:p>
        </w:tc>
        <w:tc>
          <w:tcPr>
            <w:tcW w:w="3116" w:type="dxa"/>
            <w:gridSpan w:val="6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工程措施</w:t>
            </w:r>
          </w:p>
        </w:tc>
        <w:tc>
          <w:tcPr>
            <w:tcW w:w="2157" w:type="dxa"/>
            <w:gridSpan w:val="6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植物措施</w:t>
            </w:r>
          </w:p>
        </w:tc>
        <w:tc>
          <w:tcPr>
            <w:tcW w:w="2203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临时措施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dxa"/>
            <w:vMerge w:val="restart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防治分区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路基工程区</w:t>
            </w:r>
          </w:p>
        </w:tc>
        <w:tc>
          <w:tcPr>
            <w:tcW w:w="3116" w:type="dxa"/>
            <w:gridSpan w:val="6"/>
            <w:noWrap/>
            <w:vAlign w:val="center"/>
          </w:tcPr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①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主线—主体：锚杆（索）框格梁护坡2.98hm²、路堑边沟50423.41m、路堤边沟24264.20m、平台排水沟58608.92m、截水沟7550.00m、急流槽4403.52m，新增：表土剥离28.43万m³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②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支线—主体：锚杆（索）框格梁护坡2.16hm²、路堑边沟17418.00m、路堤边沟9239.00m、平台排水沟1674.00m、截水沟1161.00m、急流槽64.65m，新增：表土剥离13.24万m³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③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连接线—主体：锚杆（索）框格梁护坡15.47hm²、路堑边沟39148.05m、路堤边沟15658.52m、平台排水沟19270.35m、急流槽11954.00m，新增：表土剥离20.58万m³</w:t>
            </w:r>
          </w:p>
        </w:tc>
        <w:tc>
          <w:tcPr>
            <w:tcW w:w="2157" w:type="dxa"/>
            <w:gridSpan w:val="6"/>
            <w:noWrap/>
            <w:vAlign w:val="center"/>
          </w:tcPr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①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主线—主体：拱形格植草护坡6.85hm²、三维网植被防护37.60hm²、人字格植草护坡2.58hm²、路侧景观绿化5.41hm²、中央分隔带景观绿化8.46hm²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②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支线—主体：拱形格植草护坡8.07hm²、三维网植被防护1.01hm²、路侧景观绿化0.96hm²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③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连接线—主体：拱形格植草护坡13.08hm²、三维网植被防护8.52hm²、人字格植草护坡3.94hm²、路侧景观绿化9.32hm²</w:t>
            </w:r>
          </w:p>
        </w:tc>
        <w:tc>
          <w:tcPr>
            <w:tcW w:w="2203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①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主线—新增：钢丝石笼拦挡7239m、临时沉沙池81座、土工布临时覆盖320720m²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②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支线—新增：钢丝石笼拦挡480m、临时沉沙池14座、土工布临时覆盖51548m²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③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连接线—新增：临时沉沙池51座、土工布临时覆盖48702m²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2" w:type="dxa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桥涵工程区</w:t>
            </w:r>
          </w:p>
        </w:tc>
        <w:tc>
          <w:tcPr>
            <w:tcW w:w="3116" w:type="dxa"/>
            <w:gridSpan w:val="6"/>
            <w:noWrap/>
            <w:vAlign w:val="center"/>
          </w:tcPr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①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主线—主体：泄水管79262.00m、泥浆沉淀池79口，新增：表土剥离1.42万m³、C25混凝土沉沙池68座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②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支线—主体：泄水管397.00m、泥浆沉淀池4口，新增：表土剥离0.11万m³、</w:t>
            </w:r>
            <w:r>
              <w:rPr>
                <w:rFonts w:ascii="宋体" w:hAnsi="宋体" w:eastAsia="宋体" w:cs="Times New Roman"/>
                <w:sz w:val="18"/>
                <w:szCs w:val="18"/>
              </w:rPr>
              <w:t>C25混凝土沉沙池4座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③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连接线—主体：泄水管3647.00m、泥浆沉淀池12口，新增：表土剥离0.09万m³、</w:t>
            </w:r>
            <w:r>
              <w:rPr>
                <w:rFonts w:ascii="宋体" w:hAnsi="宋体" w:eastAsia="宋体" w:cs="Times New Roman"/>
                <w:sz w:val="18"/>
                <w:szCs w:val="18"/>
              </w:rPr>
              <w:t>C25混凝土沉沙池19座</w:t>
            </w:r>
          </w:p>
        </w:tc>
        <w:tc>
          <w:tcPr>
            <w:tcW w:w="2157" w:type="dxa"/>
            <w:gridSpan w:val="6"/>
            <w:noWrap/>
            <w:vAlign w:val="center"/>
          </w:tcPr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①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主线—主体：撒播草籽绿化30.81hm²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②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支线—主体：撒播草籽绿化2.57hm²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③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连接线—主体：撒播草籽绿化1.82hm²</w:t>
            </w:r>
          </w:p>
        </w:tc>
        <w:tc>
          <w:tcPr>
            <w:tcW w:w="2203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①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主线—新增：钢丝石笼拦挡453m、临时沉沙池68座、土工布覆盖7406m²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②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支线—新增：临时沉沙池4座、土工布覆盖353m²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③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连接线—新增：临时沉沙池19座、土工布覆盖3285m²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  <w:highlight w:val="green"/>
              </w:rPr>
            </w:pPr>
          </w:p>
        </w:tc>
        <w:tc>
          <w:tcPr>
            <w:tcW w:w="672" w:type="dxa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隧道工程区</w:t>
            </w:r>
          </w:p>
        </w:tc>
        <w:tc>
          <w:tcPr>
            <w:tcW w:w="3116" w:type="dxa"/>
            <w:gridSpan w:val="6"/>
            <w:noWrap/>
            <w:vAlign w:val="center"/>
          </w:tcPr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①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主线—主体：截排水沟10424.00m、顺接排水沟876.00m，新增：表土剥离6.26万m³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②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支线—主体：截排水沟466.68m、顺接排水沟39m，新增：表土剥离0.30万m³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③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连接线—主体：截排水沟158.89m、顺接排水沟27.00m，新增：表土剥离0.38万m³</w:t>
            </w:r>
          </w:p>
        </w:tc>
        <w:tc>
          <w:tcPr>
            <w:tcW w:w="2157" w:type="dxa"/>
            <w:gridSpan w:val="6"/>
            <w:noWrap/>
            <w:vAlign w:val="center"/>
          </w:tcPr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①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主线—主体：景观绿化7.97hm²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②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支线—主体：景观绿化0.40hm²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③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连接线—主体：景观绿化0.34hm²</w:t>
            </w:r>
          </w:p>
        </w:tc>
        <w:tc>
          <w:tcPr>
            <w:tcW w:w="2203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①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主线—新增：临时沉沙池88座、土工布临时覆盖11482m²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②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支线—新增：临时沉沙池8座、土工布覆盖1033m²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③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连接线—新增：临时沉沙池6座、土工布覆盖413m²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312" w:hRule="atLeast"/>
          <w:jc w:val="center"/>
        </w:trPr>
        <w:tc>
          <w:tcPr>
            <w:tcW w:w="374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  <w:highlight w:val="green"/>
              </w:rPr>
            </w:pPr>
          </w:p>
        </w:tc>
        <w:tc>
          <w:tcPr>
            <w:tcW w:w="672" w:type="dxa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立交工程区</w:t>
            </w:r>
          </w:p>
        </w:tc>
        <w:tc>
          <w:tcPr>
            <w:tcW w:w="3116" w:type="dxa"/>
            <w:gridSpan w:val="6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主体：锚杆（索）框格梁护坡10.65hm²、路堑边沟38819.90m、路堤边沟14732.70m、平台排水沟25669.36m、急流槽5854.95m，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新增：表土剥离36.52万m³、C25混凝土沉沙池17座</w:t>
            </w:r>
          </w:p>
        </w:tc>
        <w:tc>
          <w:tcPr>
            <w:tcW w:w="2157" w:type="dxa"/>
            <w:gridSpan w:val="6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主体：拱形格植草护坡23.55hm²、三维网植被防护5.25hm²、人字格植草护坡2.35hm²、植草护坡6.77hm²、景观绿化38.99hm²</w:t>
            </w:r>
          </w:p>
        </w:tc>
        <w:tc>
          <w:tcPr>
            <w:tcW w:w="2203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新增：装土编织袋拦挡3684m、临时撒草覆盖183800m²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  <w:highlight w:val="green"/>
              </w:rPr>
            </w:pPr>
          </w:p>
        </w:tc>
        <w:tc>
          <w:tcPr>
            <w:tcW w:w="672" w:type="dxa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附属工程区</w:t>
            </w:r>
          </w:p>
        </w:tc>
        <w:tc>
          <w:tcPr>
            <w:tcW w:w="3116" w:type="dxa"/>
            <w:gridSpan w:val="6"/>
            <w:noWrap/>
            <w:vAlign w:val="center"/>
          </w:tcPr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①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主线—主体：锚杆框格梁护坡0.06hm²、路堑边沟504.23m、路堤边沟1242.64m、平台排水沟586.09m、截水沟223.45m、急流槽87.00m，新增：表土剥离7.35万m³、C25混凝土沉沙池12座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②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支线—主体：锚杆框格梁护坡0.07hm²、路堑边沟545.45m、平台排水沟412.69m，新增：表土剥离0.30万m³</w:t>
            </w:r>
          </w:p>
        </w:tc>
        <w:tc>
          <w:tcPr>
            <w:tcW w:w="2157" w:type="dxa"/>
            <w:gridSpan w:val="6"/>
            <w:noWrap/>
            <w:vAlign w:val="center"/>
          </w:tcPr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①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主线—主体：拱形格植草护坡0.35hm²、三维网植被防护0.08hm²、人字格植草护坡0.04hm²、景观绿化8.76hm²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②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支线—主体：景观绿化0.34hm²</w:t>
            </w:r>
          </w:p>
        </w:tc>
        <w:tc>
          <w:tcPr>
            <w:tcW w:w="2203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①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主线—新增：土工布覆盖20683m²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②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支线—新增：土工布临时覆盖1650m²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  <w:highlight w:val="green"/>
              </w:rPr>
            </w:pPr>
          </w:p>
        </w:tc>
        <w:tc>
          <w:tcPr>
            <w:tcW w:w="672" w:type="dxa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改移工程区</w:t>
            </w:r>
          </w:p>
        </w:tc>
        <w:tc>
          <w:tcPr>
            <w:tcW w:w="3116" w:type="dxa"/>
            <w:gridSpan w:val="6"/>
            <w:noWrap/>
            <w:vAlign w:val="center"/>
          </w:tcPr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①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主线—主体：路侧排水沟30557.31m，新增：表土剥离2.30万m³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②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支线—主体：路侧排水沟4900.50m，新增：表土剥离0.46万m³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③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连接线—主体：路侧排水沟4328.11m，新增：表土剥离0.85万m³</w:t>
            </w:r>
          </w:p>
        </w:tc>
        <w:tc>
          <w:tcPr>
            <w:tcW w:w="2157" w:type="dxa"/>
            <w:gridSpan w:val="6"/>
            <w:noWrap/>
            <w:vAlign w:val="center"/>
          </w:tcPr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①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主线—主体：边坡撒草绿化7.51hm²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②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支线—主体：边坡撒草绿化1.49hm²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③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连接线—主体：边坡撒草绿化1.44hm²</w:t>
            </w:r>
          </w:p>
        </w:tc>
        <w:tc>
          <w:tcPr>
            <w:tcW w:w="2203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①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主线—新增：临时沉沙池71座、土工布覆盖13683m²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②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支线—新增：临时沉沙池17座、土工布覆盖3055m²</w:t>
            </w:r>
          </w:p>
          <w:p>
            <w:pPr>
              <w:widowControl/>
              <w:spacing w:line="240" w:lineRule="auto"/>
              <w:ind w:firstLine="360" w:firstLineChars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③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连接线—新增：临时沉沙池12座、土工布临时覆盖1019m²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312" w:hRule="atLeast"/>
          <w:jc w:val="center"/>
        </w:trPr>
        <w:tc>
          <w:tcPr>
            <w:tcW w:w="374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  <w:highlight w:val="green"/>
              </w:rPr>
            </w:pPr>
          </w:p>
        </w:tc>
        <w:tc>
          <w:tcPr>
            <w:tcW w:w="672" w:type="dxa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施工营场地区</w:t>
            </w:r>
          </w:p>
        </w:tc>
        <w:tc>
          <w:tcPr>
            <w:tcW w:w="3116" w:type="dxa"/>
            <w:gridSpan w:val="6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新增：表土剥离14.96万m³、复耕37.68hm²、浆砌石拦挡787m、截排水沟5022m</w:t>
            </w:r>
          </w:p>
        </w:tc>
        <w:tc>
          <w:tcPr>
            <w:tcW w:w="2157" w:type="dxa"/>
            <w:gridSpan w:val="6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新增：植被恢复29.23hm²</w:t>
            </w:r>
          </w:p>
        </w:tc>
        <w:tc>
          <w:tcPr>
            <w:tcW w:w="2203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新增：编织袋拦挡6869m、临时排水沟9565m、临时沉沙池102座、土工布覆盖4976m²、临时撒草覆盖69900m²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312" w:hRule="atLeast"/>
          <w:jc w:val="center"/>
        </w:trPr>
        <w:tc>
          <w:tcPr>
            <w:tcW w:w="374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  <w:highlight w:val="green"/>
              </w:rPr>
            </w:pPr>
          </w:p>
        </w:tc>
        <w:tc>
          <w:tcPr>
            <w:tcW w:w="672" w:type="dxa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施工便道区</w:t>
            </w:r>
          </w:p>
        </w:tc>
        <w:tc>
          <w:tcPr>
            <w:tcW w:w="3116" w:type="dxa"/>
            <w:gridSpan w:val="6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主体：路侧排水沟97522.00m，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新增：表土剥离44.87万m³、复耕94.45hm²</w:t>
            </w:r>
          </w:p>
        </w:tc>
        <w:tc>
          <w:tcPr>
            <w:tcW w:w="2157" w:type="dxa"/>
            <w:gridSpan w:val="6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新增：植被恢复119.04hm²</w:t>
            </w:r>
          </w:p>
        </w:tc>
        <w:tc>
          <w:tcPr>
            <w:tcW w:w="2203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新增：编织袋拦挡7763m、临时沉沙池246座、土工布临时覆盖7658m²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312" w:hRule="atLeast"/>
          <w:jc w:val="center"/>
        </w:trPr>
        <w:tc>
          <w:tcPr>
            <w:tcW w:w="374" w:type="dxa"/>
            <w:vMerge w:val="continue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  <w:highlight w:val="green"/>
              </w:rPr>
            </w:pPr>
          </w:p>
        </w:tc>
        <w:tc>
          <w:tcPr>
            <w:tcW w:w="672" w:type="dxa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弃渣场区</w:t>
            </w:r>
          </w:p>
        </w:tc>
        <w:tc>
          <w:tcPr>
            <w:tcW w:w="3116" w:type="dxa"/>
            <w:gridSpan w:val="6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主体：挡渣墙734.33m、挡墙下游侧引流排水沟368.00m、截水沟23729.00m、截洪沟8550.00m、马道及平台排水沟12281.00、排水盲沟（渣场底部）16810.00m，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新增：表土剥离33.87万m³、环形水沟6514m、渣顶排水沟1666.00m、竖向盲沟149.00m、渗水井6个、复耕57.62hm²、八字翼墙89m</w:t>
            </w:r>
          </w:p>
        </w:tc>
        <w:tc>
          <w:tcPr>
            <w:tcW w:w="2157" w:type="dxa"/>
            <w:gridSpan w:val="6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新增：植被恢复110.11hm²（其中平台83.22hm²、边坡26.89hm²）</w:t>
            </w:r>
          </w:p>
        </w:tc>
        <w:tc>
          <w:tcPr>
            <w:tcW w:w="2203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新增：装土编织袋拦挡8028m、临时撒草覆盖401400m²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gridSpan w:val="2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投资（万元）</w:t>
            </w:r>
          </w:p>
        </w:tc>
        <w:tc>
          <w:tcPr>
            <w:tcW w:w="3116" w:type="dxa"/>
            <w:gridSpan w:val="6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33119.47（主体：22442.56、新增：10676.91）</w:t>
            </w:r>
          </w:p>
        </w:tc>
        <w:tc>
          <w:tcPr>
            <w:tcW w:w="2157" w:type="dxa"/>
            <w:gridSpan w:val="6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18223.06（主体：15637.16、新增：2585.90）</w:t>
            </w:r>
          </w:p>
        </w:tc>
        <w:tc>
          <w:tcPr>
            <w:tcW w:w="2203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1234.29（新增）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312" w:hRule="atLeast"/>
          <w:jc w:val="center"/>
        </w:trPr>
        <w:tc>
          <w:tcPr>
            <w:tcW w:w="1977" w:type="dxa"/>
            <w:gridSpan w:val="5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水土保持总投资（万元）</w:t>
            </w:r>
          </w:p>
        </w:tc>
        <w:tc>
          <w:tcPr>
            <w:tcW w:w="2185" w:type="dxa"/>
            <w:gridSpan w:val="3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55967.04</w:t>
            </w:r>
          </w:p>
        </w:tc>
        <w:tc>
          <w:tcPr>
            <w:tcW w:w="2157" w:type="dxa"/>
            <w:gridSpan w:val="6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独立费用（万元）</w:t>
            </w:r>
          </w:p>
        </w:tc>
        <w:tc>
          <w:tcPr>
            <w:tcW w:w="2203" w:type="dxa"/>
            <w:gridSpan w:val="3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1594.09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977" w:type="dxa"/>
            <w:gridSpan w:val="5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监理费（万元）</w:t>
            </w:r>
          </w:p>
        </w:tc>
        <w:tc>
          <w:tcPr>
            <w:tcW w:w="646" w:type="dxa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180.00</w:t>
            </w:r>
          </w:p>
        </w:tc>
        <w:tc>
          <w:tcPr>
            <w:tcW w:w="1539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监测费（万元）</w:t>
            </w:r>
          </w:p>
        </w:tc>
        <w:tc>
          <w:tcPr>
            <w:tcW w:w="889" w:type="dxa"/>
            <w:gridSpan w:val="3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201.29</w:t>
            </w:r>
          </w:p>
        </w:tc>
        <w:tc>
          <w:tcPr>
            <w:tcW w:w="1268" w:type="dxa"/>
            <w:gridSpan w:val="3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补偿费（万元）</w:t>
            </w:r>
          </w:p>
        </w:tc>
        <w:tc>
          <w:tcPr>
            <w:tcW w:w="2203" w:type="dxa"/>
            <w:gridSpan w:val="3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835.352（西畴183.715、麻栗坡170.394、富宁481.243）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7" w:type="dxa"/>
            <w:gridSpan w:val="3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spacing w:val="-12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pacing w:val="-12"/>
                <w:kern w:val="0"/>
                <w:sz w:val="18"/>
                <w:szCs w:val="18"/>
              </w:rPr>
              <w:t>方案编制单位</w:t>
            </w:r>
          </w:p>
        </w:tc>
        <w:tc>
          <w:tcPr>
            <w:tcW w:w="3055" w:type="dxa"/>
            <w:gridSpan w:val="5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  <w:t>云南润滇节水技术推广咨询有限公司</w:t>
            </w:r>
          </w:p>
        </w:tc>
        <w:tc>
          <w:tcPr>
            <w:tcW w:w="1179" w:type="dxa"/>
            <w:gridSpan w:val="4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  <w:t>建设单位</w:t>
            </w:r>
          </w:p>
        </w:tc>
        <w:tc>
          <w:tcPr>
            <w:tcW w:w="3181" w:type="dxa"/>
            <w:gridSpan w:val="5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  <w:t>文山壮族苗族自治州交通运输局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7" w:type="dxa"/>
            <w:gridSpan w:val="3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3055" w:type="dxa"/>
            <w:gridSpan w:val="5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  <w:t>肖贵阳</w:t>
            </w:r>
          </w:p>
        </w:tc>
        <w:tc>
          <w:tcPr>
            <w:tcW w:w="1179" w:type="dxa"/>
            <w:gridSpan w:val="4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3181" w:type="dxa"/>
            <w:gridSpan w:val="5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  <w:t>邓良成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7" w:type="dxa"/>
            <w:gridSpan w:val="3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地址</w:t>
            </w:r>
          </w:p>
        </w:tc>
        <w:tc>
          <w:tcPr>
            <w:tcW w:w="3055" w:type="dxa"/>
            <w:gridSpan w:val="5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  <w:t>昆明五华区科泰路海伦中心1栋21楼</w:t>
            </w:r>
          </w:p>
        </w:tc>
        <w:tc>
          <w:tcPr>
            <w:tcW w:w="1179" w:type="dxa"/>
            <w:gridSpan w:val="4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  <w:t>地址</w:t>
            </w:r>
          </w:p>
        </w:tc>
        <w:tc>
          <w:tcPr>
            <w:tcW w:w="3181" w:type="dxa"/>
            <w:gridSpan w:val="5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  <w:t>文山市开化中路169号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7" w:type="dxa"/>
            <w:gridSpan w:val="3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邮编</w:t>
            </w:r>
          </w:p>
        </w:tc>
        <w:tc>
          <w:tcPr>
            <w:tcW w:w="3055" w:type="dxa"/>
            <w:gridSpan w:val="5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  <w:t>650000</w:t>
            </w:r>
          </w:p>
        </w:tc>
        <w:tc>
          <w:tcPr>
            <w:tcW w:w="1179" w:type="dxa"/>
            <w:gridSpan w:val="4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  <w:t>邮编</w:t>
            </w:r>
          </w:p>
        </w:tc>
        <w:tc>
          <w:tcPr>
            <w:tcW w:w="3181" w:type="dxa"/>
            <w:gridSpan w:val="5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  <w:t>663000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07" w:type="dxa"/>
            <w:gridSpan w:val="3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电子信箱</w:t>
            </w:r>
          </w:p>
        </w:tc>
        <w:tc>
          <w:tcPr>
            <w:tcW w:w="3055" w:type="dxa"/>
            <w:gridSpan w:val="5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  <w:t>1138205824@qq.com</w:t>
            </w:r>
          </w:p>
        </w:tc>
        <w:tc>
          <w:tcPr>
            <w:tcW w:w="1179" w:type="dxa"/>
            <w:gridSpan w:val="4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  <w:t>电子信箱</w:t>
            </w:r>
          </w:p>
        </w:tc>
        <w:tc>
          <w:tcPr>
            <w:tcW w:w="3181" w:type="dxa"/>
            <w:gridSpan w:val="5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napToGrid w:val="0"/>
                <w:kern w:val="0"/>
                <w:sz w:val="18"/>
                <w:szCs w:val="18"/>
              </w:rPr>
              <w:t>27671264@qq.com</w:t>
            </w:r>
          </w:p>
        </w:tc>
      </w:tr>
    </w:tbl>
    <w:p>
      <w:pPr>
        <w:rPr>
          <w:rFonts w:ascii="宋体" w:hAnsi="宋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mZGU2ODA5MWIzZGZlMjA2OWQxMDczZmE3ZDlkNDEifQ=="/>
  </w:docVars>
  <w:rsids>
    <w:rsidRoot w:val="65E91348"/>
    <w:rsid w:val="65E91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40" w:lineRule="exact"/>
      <w:ind w:firstLine="200" w:firstLineChars="20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2022-12-21T06:12:00Z</dcterms:created>
  <dc:creator>zyh</dc:creator>
  <cp:lastModifiedBy>zyh</cp:lastModifiedBy>
  <dcterms:modified xsi:type="dcterms:W3CDTF">2022-12-21T06:13:06Z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F1AAD142B63048289D6B9D51A7319B95</vt:lpwstr>
  </property>
</Properties>
</file>