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ind w:left="0" w:leftChars="0" w:firstLine="0" w:firstLineChars="0"/>
        <w:jc w:val="left"/>
        <w:rPr>
          <w:rFonts w:ascii="宋体" w:hAnsi="宋体" w:eastAsia="黑体"/>
          <w:b/>
          <w:bCs/>
          <w:sz w:val="32"/>
          <w:szCs w:val="32"/>
        </w:rPr>
      </w:pPr>
      <w:bookmarkStart w:id="0" w:name="_GoBack"/>
      <w:r>
        <w:rPr>
          <w:rFonts w:ascii="宋体" w:hAnsi="宋体" w:eastAsia="黑体"/>
          <w:b/>
          <w:bCs/>
          <w:sz w:val="32"/>
          <w:szCs w:val="32"/>
        </w:rPr>
        <w:t>附件</w:t>
      </w:r>
    </w:p>
    <w:bookmarkEnd w:id="0"/>
    <w:p>
      <w:pPr>
        <w:snapToGrid w:val="0"/>
        <w:spacing w:line="580" w:lineRule="exact"/>
        <w:ind w:firstLine="640"/>
        <w:jc w:val="center"/>
        <w:rPr>
          <w:rFonts w:hint="eastAsia" w:ascii="宋体" w:hAnsi="宋体" w:eastAsia="方正小标宋_GBK" w:cs="方正小标宋_GBK"/>
          <w:sz w:val="32"/>
          <w:szCs w:val="32"/>
        </w:rPr>
      </w:pPr>
      <w:r>
        <w:rPr>
          <w:rFonts w:hint="eastAsia" w:ascii="宋体" w:hAnsi="宋体" w:eastAsia="方正小标宋_GBK" w:cs="方正小标宋_GBK"/>
          <w:sz w:val="32"/>
          <w:szCs w:val="32"/>
        </w:rPr>
        <w:t>水土保持方案特性表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408"/>
        <w:gridCol w:w="1477"/>
        <w:gridCol w:w="694"/>
        <w:gridCol w:w="1480"/>
        <w:gridCol w:w="1218"/>
        <w:gridCol w:w="370"/>
        <w:gridCol w:w="59"/>
        <w:gridCol w:w="1328"/>
        <w:gridCol w:w="12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项目名称</w:t>
            </w:r>
          </w:p>
        </w:tc>
        <w:tc>
          <w:tcPr>
            <w:tcW w:w="36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25" w:firstLine="0" w:firstLineChars="0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富源县祥达煤矿有限公司富源县祥达煤矿一号井45万吨/年升级改造项目</w:t>
            </w: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流域管理机构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珠江流域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涉及省区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25" w:firstLine="0" w:firstLineChars="0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云南省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25" w:firstLine="0" w:firstLineChars="0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涉及地市或个数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曲靖市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涉及县或个数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ascii="宋体" w:hAnsi="宋体"/>
                <w:kern w:val="2"/>
                <w:sz w:val="18"/>
                <w:szCs w:val="18"/>
              </w:rPr>
              <w:t>富源县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项目规模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45万t/a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总投资（万元）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14405.48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土建投资（万元）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6819.16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动工时间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2012年1月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完工时间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2024年4月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设计水平年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2024年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工程占地（hm2）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2.57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永久占地（hm2）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2.57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临时占地（hm2）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土石方量（m3）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分区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挖方（m3）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填方（m3）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借方（m3）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余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方（m3）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合计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25699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4025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21654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工业场地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21877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223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21654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变电站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3480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620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64" w:type="dxa"/>
            <w:gridSpan w:val="2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炸药库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342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3182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重点防治区名称</w:t>
            </w:r>
          </w:p>
        </w:tc>
        <w:tc>
          <w:tcPr>
            <w:tcW w:w="6399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滇东岩溶石漠化国家级水土流失重点治理区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地貌类型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低中山地貌</w:t>
            </w:r>
          </w:p>
        </w:tc>
        <w:tc>
          <w:tcPr>
            <w:tcW w:w="164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水土保持区划</w:t>
            </w:r>
          </w:p>
        </w:tc>
        <w:tc>
          <w:tcPr>
            <w:tcW w:w="257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西南岩溶区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土壤侵蚀类型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水力侵蚀</w:t>
            </w:r>
          </w:p>
        </w:tc>
        <w:tc>
          <w:tcPr>
            <w:tcW w:w="164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土壤侵蚀强度</w:t>
            </w:r>
          </w:p>
        </w:tc>
        <w:tc>
          <w:tcPr>
            <w:tcW w:w="257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微度侵蚀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防治责任范围面积（hm2）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2.57</w:t>
            </w:r>
          </w:p>
        </w:tc>
        <w:tc>
          <w:tcPr>
            <w:tcW w:w="164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容许土壤流失量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t/（km2·a）</w:t>
            </w:r>
          </w:p>
        </w:tc>
        <w:tc>
          <w:tcPr>
            <w:tcW w:w="257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500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土壤流失预测总量（t）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1.09</w:t>
            </w: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新增土壤流失量（t）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1.07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水土流失防治标准执行等级</w:t>
            </w:r>
          </w:p>
        </w:tc>
        <w:tc>
          <w:tcPr>
            <w:tcW w:w="6399" w:type="dxa"/>
            <w:gridSpan w:val="7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西南岩溶区一级标准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 xml:space="preserve">防治 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指标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水土流失治理度（%）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97</w:t>
            </w: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土壤流失控制比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渣土防护率（%）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92</w:t>
            </w: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表土保护率（%）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林草植被恢复率（%）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96</w:t>
            </w:r>
          </w:p>
        </w:tc>
        <w:tc>
          <w:tcPr>
            <w:tcW w:w="2975" w:type="dxa"/>
            <w:gridSpan w:val="4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林草覆盖率（%）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防治措施及工程量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防治分区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工程措施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植物措施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临时措施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工业场地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主体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：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雨水收集池1座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新增：土工布临时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覆盖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600m2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办公生活区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变电站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主体：截水沟66m，排水沟118m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56" w:type="dxa"/>
            <w:vMerge w:val="continue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炸药库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主体：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表土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剥离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220m3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，排水沟43m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主体：植草绿化面积0.05hm2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投资（万元）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10.57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0.50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0.68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水土保持总投资（万元）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78.92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独立费用（万元）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62.09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监理费（万元）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12</w:t>
            </w:r>
          </w:p>
        </w:tc>
        <w:tc>
          <w:tcPr>
            <w:tcW w:w="148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监测费（万元）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16.77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补偿费（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万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元）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0.64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（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6440.00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方案编制单位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  <w:lang w:val="zh-CN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  <w:lang w:val="zh-CN"/>
              </w:rPr>
              <w:t>云南今禹生态工程咨询有限公司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建设单位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富源县祥达煤矿有限公司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法定代表人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周祥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法定代表人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王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永庆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地址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昆明市盘龙区龙华路万派中心11楼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地址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富源县</w:t>
            </w:r>
            <w:r>
              <w:rPr>
                <w:rFonts w:hint="eastAsia" w:ascii="宋体" w:hAnsi="宋体" w:cs="Times New Roman"/>
                <w:kern w:val="2"/>
                <w:sz w:val="18"/>
                <w:szCs w:val="18"/>
              </w:rPr>
              <w:t>大河镇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白马村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邮编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650224</w:t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邮编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650502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1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电子信箱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fldChar w:fldCharType="begin"/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instrText xml:space="preserve"> HYPERLINK "mailto:836538197@qq.com" </w:instrTex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fldChar w:fldCharType="separate"/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t>836538197@qq.com</w:t>
            </w:r>
            <w:r>
              <w:rPr>
                <w:rFonts w:ascii="宋体" w:hAnsi="宋体" w:cs="Times New Roman"/>
                <w:kern w:val="2"/>
                <w:sz w:val="18"/>
                <w:szCs w:val="18"/>
              </w:rPr>
              <w:fldChar w:fldCharType="end"/>
            </w:r>
          </w:p>
        </w:tc>
        <w:tc>
          <w:tcPr>
            <w:tcW w:w="1588" w:type="dxa"/>
            <w:gridSpan w:val="2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电子信箱</w:t>
            </w:r>
          </w:p>
        </w:tc>
        <w:tc>
          <w:tcPr>
            <w:tcW w:w="2637" w:type="dxa"/>
            <w:gridSpan w:val="3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-60" w:firstLine="0" w:firstLineChars="0"/>
              <w:jc w:val="center"/>
              <w:textAlignment w:val="auto"/>
              <w:rPr>
                <w:rFonts w:ascii="宋体" w:hAnsi="宋体" w:cs="Times New Roman"/>
                <w:kern w:val="2"/>
                <w:sz w:val="18"/>
                <w:szCs w:val="18"/>
              </w:rPr>
            </w:pPr>
            <w:r>
              <w:rPr>
                <w:rFonts w:ascii="宋体" w:hAnsi="宋体" w:cs="Times New Roman"/>
                <w:kern w:val="2"/>
                <w:sz w:val="18"/>
                <w:szCs w:val="18"/>
              </w:rPr>
              <w:t>2367756308@qq.com</w:t>
            </w:r>
          </w:p>
        </w:tc>
      </w:tr>
    </w:tbl>
    <w:p>
      <w:pPr>
        <w:rPr>
          <w:rFonts w:ascii="宋体" w:hAnsi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ZGU2ODA5MWIzZGZlMjA2OWQxMDczZmE3ZDlkNDEifQ=="/>
  </w:docVars>
  <w:rsids>
    <w:rsidRoot w:val="6EAD0D49"/>
    <w:rsid w:val="6EAD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customStyle="1" w:styleId="6">
    <w:name w:val="表格"/>
    <w:basedOn w:val="1"/>
    <w:qFormat/>
    <w:uiPriority w:val="0"/>
    <w:pPr>
      <w:spacing w:before="60" w:after="25"/>
      <w:jc w:val="center"/>
    </w:pPr>
    <w:rPr>
      <w:rFonts w:ascii="宋体" w:hAns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2022-12-21T06:32:00Z</dcterms:created>
  <dc:creator>zyh</dc:creator>
  <cp:lastModifiedBy>zyh</cp:lastModifiedBy>
  <dcterms:modified xsi:type="dcterms:W3CDTF">2022-12-21T06:33:06Z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B371A03092D54D448029D8012E9C686A</vt:lpwstr>
  </property>
</Properties>
</file>