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Style w:val="13"/>
          <w:rFonts w:hint="default" w:ascii="方正黑体_GBK" w:hAnsi="方正黑体_GBK" w:eastAsia="方正黑体_GBK" w:cs="方正黑体_GBK"/>
          <w:b w:val="0"/>
          <w:bCs w:val="0"/>
          <w:color w:val="333333"/>
          <w:sz w:val="32"/>
          <w:szCs w:val="32"/>
          <w:lang w:val="en-US" w:eastAsia="zh-CN"/>
        </w:rPr>
      </w:pPr>
      <w:r>
        <w:rPr>
          <w:rStyle w:val="13"/>
          <w:rFonts w:hint="eastAsia" w:ascii="方正黑体_GBK" w:hAnsi="方正黑体_GBK" w:eastAsia="方正黑体_GBK" w:cs="方正黑体_GBK"/>
          <w:b w:val="0"/>
          <w:bCs w:val="0"/>
          <w:color w:val="333333"/>
          <w:sz w:val="32"/>
          <w:szCs w:val="32"/>
          <w:lang w:val="en-US" w:eastAsia="zh-CN"/>
        </w:rPr>
        <w:t>附件2-3</w:t>
      </w:r>
    </w:p>
    <w:p>
      <w:pPr>
        <w:outlineLvl w:val="0"/>
        <w:rPr>
          <w:rStyle w:val="13"/>
          <w:rFonts w:hint="eastAsia" w:ascii="方正黑体_GBK" w:hAnsi="方正黑体_GBK" w:eastAsia="方正黑体_GBK" w:cs="方正黑体_GBK"/>
          <w:b w:val="0"/>
          <w:bCs w:val="0"/>
          <w:color w:val="333333"/>
          <w:sz w:val="32"/>
          <w:szCs w:val="32"/>
          <w:lang w:val="en-US" w:eastAsia="zh-CN"/>
        </w:rPr>
      </w:pPr>
    </w:p>
    <w:p>
      <w:pPr>
        <w:outlineLvl w:val="0"/>
        <w:rPr>
          <w:rStyle w:val="13"/>
          <w:rFonts w:hint="eastAsia" w:ascii="方正小标宋_GBK" w:hAnsi="方正小标宋_GBK" w:eastAsia="方正小标宋_GBK" w:cs="方正小标宋_GBK"/>
          <w:b w:val="0"/>
          <w:bCs w:val="0"/>
          <w:color w:val="333333"/>
          <w:sz w:val="44"/>
          <w:szCs w:val="44"/>
          <w:lang w:val="en-US" w:eastAsia="zh-CN"/>
        </w:rPr>
      </w:pPr>
      <w:r>
        <w:rPr>
          <w:rStyle w:val="13"/>
          <w:rFonts w:hint="eastAsia" w:ascii="方正小标宋_GBK" w:hAnsi="方正小标宋_GBK" w:eastAsia="方正小标宋_GBK" w:cs="方正小标宋_GBK"/>
          <w:b w:val="0"/>
          <w:bCs w:val="0"/>
          <w:color w:val="333333"/>
          <w:sz w:val="44"/>
          <w:szCs w:val="44"/>
          <w:lang w:val="en-US" w:eastAsia="zh-CN" w:bidi="ar-SA"/>
        </w:rPr>
        <w:t>2024年度拟提名云南省科技进步奖项目公示</w:t>
      </w:r>
    </w:p>
    <w:p>
      <w:pPr>
        <w:bidi w:val="0"/>
        <w:rPr>
          <w:rStyle w:val="13"/>
        </w:rPr>
      </w:pPr>
    </w:p>
    <w:p>
      <w:pPr>
        <w:pStyle w:val="9"/>
        <w:keepNext w:val="0"/>
        <w:keepLines w:val="0"/>
        <w:pageBreakBefore w:val="0"/>
        <w:widowControl/>
        <w:kinsoku/>
        <w:wordWrap/>
        <w:overflowPunct/>
        <w:topLinePunct w:val="0"/>
        <w:autoSpaceDE/>
        <w:autoSpaceDN/>
        <w:bidi w:val="0"/>
        <w:snapToGrid w:val="0"/>
        <w:spacing w:before="0" w:beforeAutospacing="0" w:after="0" w:afterAutospacing="0" w:line="560" w:lineRule="exact"/>
        <w:ind w:left="0" w:leftChars="0" w:right="0" w:rightChars="0" w:firstLine="420"/>
        <w:jc w:val="left"/>
        <w:textAlignment w:val="baseline"/>
        <w:outlineLvl w:val="0"/>
        <w:rPr>
          <w:rFonts w:hint="eastAsia" w:ascii="方正黑体_GBK" w:hAnsi="方正黑体_GBK" w:eastAsia="方正黑体_GBK" w:cs="方正黑体_GBK"/>
          <w:b w:val="0"/>
          <w:bCs w:val="0"/>
          <w:color w:val="333333"/>
          <w:sz w:val="32"/>
          <w:szCs w:val="32"/>
        </w:rPr>
      </w:pPr>
      <w:r>
        <w:rPr>
          <w:rStyle w:val="13"/>
          <w:rFonts w:hint="eastAsia" w:ascii="方正黑体_GBK" w:hAnsi="方正黑体_GBK" w:eastAsia="方正黑体_GBK" w:cs="方正黑体_GBK"/>
          <w:b w:val="0"/>
          <w:bCs w:val="0"/>
          <w:color w:val="333333"/>
          <w:sz w:val="32"/>
          <w:szCs w:val="32"/>
        </w:rPr>
        <w:t>一、项目基本情况</w:t>
      </w:r>
    </w:p>
    <w:p>
      <w:pPr>
        <w:pStyle w:val="4"/>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left"/>
        <w:textAlignment w:val="auto"/>
        <w:outlineLvl w:val="1"/>
        <w:rPr>
          <w:rFonts w:hint="eastAsia" w:ascii="宋体" w:hAnsi="宋体" w:eastAsia="方正楷体_GBK" w:cs="方正楷体_GBK"/>
          <w:kern w:val="2"/>
          <w:sz w:val="32"/>
          <w:szCs w:val="32"/>
          <w:lang w:val="en-US" w:eastAsia="zh-CN" w:bidi="ar-SA"/>
        </w:rPr>
      </w:pPr>
      <w:r>
        <w:rPr>
          <w:rFonts w:hint="eastAsia" w:ascii="宋体" w:hAnsi="宋体" w:eastAsia="方正楷体_GBK" w:cs="方正楷体_GBK"/>
          <w:kern w:val="2"/>
          <w:sz w:val="32"/>
          <w:szCs w:val="32"/>
          <w:lang w:val="en-US" w:eastAsia="zh-CN" w:bidi="ar-SA"/>
        </w:rPr>
        <w:t>（一）项目名称</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baseline"/>
        <w:outlineLvl w:val="0"/>
        <w:rPr>
          <w:rFonts w:hint="eastAsia" w:ascii="宋体" w:hAnsi="宋体" w:eastAsia="方正仿宋_GBK" w:cstheme="minorBidi"/>
          <w:sz w:val="32"/>
          <w:szCs w:val="32"/>
          <w:lang w:val="en-US" w:eastAsia="zh-CN" w:bidi="ar-SA"/>
        </w:rPr>
      </w:pPr>
      <w:r>
        <w:rPr>
          <w:rFonts w:hint="eastAsia" w:ascii="宋体" w:hAnsi="宋体" w:eastAsia="方正仿宋_GBK" w:cstheme="minorBidi"/>
          <w:sz w:val="32"/>
          <w:szCs w:val="32"/>
          <w:lang w:val="en-US" w:eastAsia="zh-CN" w:bidi="ar-SA"/>
        </w:rPr>
        <w:t>云南河湖健康评估指标体系构建与应用</w:t>
      </w:r>
    </w:p>
    <w:p>
      <w:pPr>
        <w:keepNext w:val="0"/>
        <w:keepLines w:val="0"/>
        <w:pageBreakBefore w:val="0"/>
        <w:widowControl/>
        <w:kinsoku/>
        <w:wordWrap/>
        <w:overflowPunct/>
        <w:topLinePunct w:val="0"/>
        <w:autoSpaceDE/>
        <w:autoSpaceDN/>
        <w:bidi w:val="0"/>
        <w:adjustRightInd/>
        <w:snapToGrid/>
        <w:spacing w:after="0" w:line="560" w:lineRule="exact"/>
        <w:ind w:left="0" w:leftChars="0" w:right="0" w:rightChars="0" w:firstLine="600" w:firstLineChars="200"/>
        <w:jc w:val="left"/>
        <w:textAlignment w:val="auto"/>
        <w:outlineLvl w:val="1"/>
        <w:rPr>
          <w:rFonts w:hint="eastAsia" w:ascii="仿宋_GB2312" w:hAnsi="仿宋_GB2312" w:eastAsia="仿宋_GB2312" w:cs="仿宋_GB2312"/>
          <w:sz w:val="30"/>
          <w:szCs w:val="30"/>
        </w:rPr>
      </w:pPr>
      <w:r>
        <w:rPr>
          <w:rFonts w:hint="eastAsia" w:ascii="方正楷体_GBK" w:hAnsi="方正楷体_GBK" w:eastAsia="方正楷体_GBK" w:cs="方正楷体_GBK"/>
          <w:b w:val="0"/>
          <w:bCs w:val="0"/>
          <w:sz w:val="30"/>
          <w:szCs w:val="30"/>
          <w:lang w:eastAsia="zh-CN"/>
        </w:rPr>
        <w:t>（</w:t>
      </w:r>
      <w:r>
        <w:rPr>
          <w:rFonts w:hint="eastAsia" w:ascii="方正楷体_GBK" w:hAnsi="方正楷体_GBK" w:eastAsia="方正楷体_GBK" w:cs="方正楷体_GBK"/>
          <w:b w:val="0"/>
          <w:bCs w:val="0"/>
          <w:sz w:val="30"/>
          <w:szCs w:val="30"/>
          <w:lang w:val="en-US" w:eastAsia="zh-CN"/>
        </w:rPr>
        <w:t>二</w:t>
      </w:r>
      <w:r>
        <w:rPr>
          <w:rFonts w:hint="eastAsia" w:ascii="方正楷体_GBK" w:hAnsi="方正楷体_GBK" w:eastAsia="方正楷体_GBK" w:cs="方正楷体_GBK"/>
          <w:b w:val="0"/>
          <w:bCs w:val="0"/>
          <w:sz w:val="30"/>
          <w:szCs w:val="30"/>
          <w:lang w:eastAsia="zh-CN"/>
        </w:rPr>
        <w:t>）</w:t>
      </w:r>
      <w:r>
        <w:rPr>
          <w:rFonts w:hint="eastAsia" w:ascii="方正楷体_GBK" w:hAnsi="方正楷体_GBK" w:eastAsia="方正楷体_GBK" w:cs="方正楷体_GBK"/>
          <w:b w:val="0"/>
          <w:bCs w:val="0"/>
          <w:sz w:val="30"/>
          <w:szCs w:val="30"/>
        </w:rPr>
        <w:t>项目完成人</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baseline"/>
        <w:outlineLvl w:val="0"/>
        <w:rPr>
          <w:rFonts w:hint="default" w:ascii="宋体" w:hAnsi="宋体" w:eastAsia="方正仿宋_GBK" w:cs="仿宋_GB2312"/>
          <w:sz w:val="32"/>
          <w:szCs w:val="30"/>
          <w:lang w:val="en-US" w:eastAsia="zh-CN"/>
        </w:rPr>
      </w:pPr>
      <w:r>
        <w:rPr>
          <w:rFonts w:hint="eastAsia" w:ascii="宋体" w:hAnsi="宋体" w:eastAsia="方正仿宋_GBK" w:cstheme="minorBidi"/>
          <w:sz w:val="32"/>
          <w:szCs w:val="32"/>
          <w:lang w:val="en-US" w:eastAsia="zh-CN" w:bidi="ar-SA"/>
        </w:rPr>
        <w:t>李伯根、李艳华、孙燕利、杨中兰、李睿淼、刘晓波、冯梅、方金鑫、胡林凯、董飞、陈学凯</w:t>
      </w:r>
    </w:p>
    <w:p>
      <w:pPr>
        <w:keepNext w:val="0"/>
        <w:keepLines w:val="0"/>
        <w:pageBreakBefore w:val="0"/>
        <w:widowControl/>
        <w:kinsoku/>
        <w:wordWrap/>
        <w:overflowPunct/>
        <w:topLinePunct w:val="0"/>
        <w:autoSpaceDE/>
        <w:autoSpaceDN/>
        <w:bidi w:val="0"/>
        <w:adjustRightInd/>
        <w:snapToGrid/>
        <w:spacing w:after="0" w:line="560" w:lineRule="exact"/>
        <w:ind w:left="0" w:leftChars="0" w:right="0" w:rightChars="0" w:firstLine="600" w:firstLineChars="200"/>
        <w:jc w:val="left"/>
        <w:textAlignment w:val="auto"/>
        <w:outlineLvl w:val="1"/>
        <w:rPr>
          <w:rFonts w:hint="eastAsia" w:ascii="方正楷体_GBK" w:hAnsi="方正楷体_GBK" w:eastAsia="方正楷体_GBK" w:cs="方正楷体_GBK"/>
          <w:b w:val="0"/>
          <w:bCs w:val="0"/>
          <w:sz w:val="30"/>
          <w:szCs w:val="30"/>
          <w:lang w:eastAsia="zh-CN"/>
        </w:rPr>
      </w:pPr>
      <w:r>
        <w:rPr>
          <w:rFonts w:hint="eastAsia" w:ascii="方正楷体_GBK" w:hAnsi="方正楷体_GBK" w:eastAsia="方正楷体_GBK" w:cs="方正楷体_GBK"/>
          <w:b w:val="0"/>
          <w:bCs w:val="0"/>
          <w:sz w:val="30"/>
          <w:szCs w:val="30"/>
          <w:lang w:eastAsia="zh-CN"/>
        </w:rPr>
        <w:t>（</w:t>
      </w:r>
      <w:r>
        <w:rPr>
          <w:rFonts w:hint="eastAsia" w:ascii="方正楷体_GBK" w:hAnsi="方正楷体_GBK" w:eastAsia="方正楷体_GBK" w:cs="方正楷体_GBK"/>
          <w:b w:val="0"/>
          <w:bCs w:val="0"/>
          <w:sz w:val="30"/>
          <w:szCs w:val="30"/>
          <w:lang w:val="en-US" w:eastAsia="zh-CN"/>
        </w:rPr>
        <w:t>三</w:t>
      </w:r>
      <w:r>
        <w:rPr>
          <w:rFonts w:hint="eastAsia" w:ascii="方正楷体_GBK" w:hAnsi="方正楷体_GBK" w:eastAsia="方正楷体_GBK" w:cs="方正楷体_GBK"/>
          <w:b w:val="0"/>
          <w:bCs w:val="0"/>
          <w:sz w:val="30"/>
          <w:szCs w:val="30"/>
          <w:lang w:eastAsia="zh-CN"/>
        </w:rPr>
        <w:t>）项目完成单位</w:t>
      </w: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baseline"/>
        <w:outlineLvl w:val="0"/>
        <w:rPr>
          <w:rFonts w:hint="eastAsia" w:ascii="宋体" w:hAnsi="宋体" w:eastAsia="方正仿宋_GBK" w:cstheme="minorBidi"/>
          <w:sz w:val="32"/>
          <w:szCs w:val="32"/>
          <w:lang w:val="en-US" w:eastAsia="zh-CN" w:bidi="ar-SA"/>
        </w:rPr>
      </w:pPr>
      <w:r>
        <w:rPr>
          <w:rFonts w:hint="eastAsia" w:ascii="宋体" w:hAnsi="宋体" w:eastAsia="方正仿宋_GBK" w:cstheme="minorBidi"/>
          <w:sz w:val="32"/>
          <w:szCs w:val="32"/>
          <w:lang w:val="en-US" w:eastAsia="zh-CN" w:bidi="ar-SA"/>
        </w:rPr>
        <w:t>云南省水文水资源局、云南省水文水资源局玉溪分局、云南省水文水资源局丽江分局、云南省文水资源局文山分局、中国水利水电科学研究院</w:t>
      </w:r>
    </w:p>
    <w:p>
      <w:pPr>
        <w:pStyle w:val="4"/>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left"/>
        <w:textAlignment w:val="auto"/>
        <w:outlineLvl w:val="1"/>
        <w:rPr>
          <w:rFonts w:hint="eastAsia" w:ascii="宋体" w:hAnsi="宋体" w:eastAsia="方正楷体_GBK" w:cs="方正楷体_GBK"/>
          <w:kern w:val="2"/>
          <w:sz w:val="32"/>
          <w:szCs w:val="32"/>
          <w:lang w:val="en-US" w:eastAsia="zh-CN" w:bidi="ar-SA"/>
        </w:rPr>
      </w:pPr>
      <w:r>
        <w:rPr>
          <w:rFonts w:hint="eastAsia" w:ascii="宋体" w:hAnsi="宋体" w:eastAsia="方正楷体_GBK" w:cs="方正楷体_GBK"/>
          <w:kern w:val="2"/>
          <w:sz w:val="32"/>
          <w:szCs w:val="32"/>
          <w:lang w:val="en-US" w:eastAsia="zh-CN" w:bidi="ar-SA"/>
        </w:rPr>
        <w:t>（四）提名单位</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lang w:val="en-US" w:eastAsia="zh-CN"/>
        </w:rPr>
      </w:pPr>
      <w:r>
        <w:rPr>
          <w:rFonts w:hint="eastAsia" w:ascii="宋体" w:hAnsi="宋体" w:eastAsia="方正仿宋_GBK" w:cstheme="minorBidi"/>
          <w:sz w:val="32"/>
          <w:szCs w:val="32"/>
          <w:lang w:val="en-US" w:eastAsia="zh-CN" w:bidi="ar-SA"/>
        </w:rPr>
        <w:t>云南省水利厅</w:t>
      </w:r>
    </w:p>
    <w:p>
      <w:pPr>
        <w:pStyle w:val="4"/>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left"/>
        <w:textAlignment w:val="auto"/>
        <w:outlineLvl w:val="1"/>
        <w:rPr>
          <w:rFonts w:hint="eastAsia" w:ascii="宋体" w:hAnsi="宋体" w:eastAsia="方正楷体_GBK" w:cs="方正楷体_GBK"/>
          <w:kern w:val="2"/>
          <w:sz w:val="32"/>
          <w:szCs w:val="32"/>
          <w:lang w:val="en-US" w:eastAsia="zh-CN" w:bidi="ar-SA"/>
        </w:rPr>
      </w:pPr>
      <w:r>
        <w:rPr>
          <w:rFonts w:hint="eastAsia" w:ascii="宋体" w:hAnsi="宋体" w:eastAsia="方正楷体_GBK" w:cs="方正楷体_GBK"/>
          <w:kern w:val="2"/>
          <w:sz w:val="32"/>
          <w:szCs w:val="32"/>
          <w:lang w:val="en-US" w:eastAsia="zh-CN" w:bidi="ar-SA"/>
        </w:rPr>
        <w:t>（五）提名奖种及提名等级</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宋体" w:hAnsi="宋体" w:eastAsia="方正仿宋_GBK" w:cstheme="minorBidi"/>
          <w:sz w:val="32"/>
          <w:szCs w:val="32"/>
          <w:lang w:val="en-US" w:eastAsia="zh-CN" w:bidi="ar-SA"/>
        </w:rPr>
      </w:pPr>
      <w:r>
        <w:rPr>
          <w:rFonts w:hint="eastAsia" w:ascii="宋体" w:hAnsi="宋体" w:eastAsia="方正仿宋_GBK" w:cstheme="minorBidi"/>
          <w:sz w:val="32"/>
          <w:szCs w:val="32"/>
          <w:lang w:val="en-US" w:eastAsia="zh-CN" w:bidi="ar-SA"/>
        </w:rPr>
        <w:t>云南省科学技术进步奖二等奖</w:t>
      </w:r>
    </w:p>
    <w:p>
      <w:pPr>
        <w:pStyle w:val="9"/>
        <w:keepNext w:val="0"/>
        <w:keepLines w:val="0"/>
        <w:pageBreakBefore w:val="0"/>
        <w:widowControl/>
        <w:kinsoku/>
        <w:wordWrap/>
        <w:overflowPunct/>
        <w:topLinePunct w:val="0"/>
        <w:autoSpaceDE/>
        <w:autoSpaceDN/>
        <w:bidi w:val="0"/>
        <w:snapToGrid w:val="0"/>
        <w:spacing w:before="0" w:beforeAutospacing="0" w:after="0" w:afterAutospacing="0" w:line="560" w:lineRule="exact"/>
        <w:ind w:left="0" w:leftChars="0" w:right="0" w:rightChars="0" w:firstLine="420"/>
        <w:jc w:val="left"/>
        <w:textAlignment w:val="baseline"/>
        <w:outlineLvl w:val="0"/>
        <w:rPr>
          <w:rStyle w:val="13"/>
          <w:rFonts w:hint="eastAsia" w:ascii="方正黑体_GBK" w:hAnsi="方正黑体_GBK" w:eastAsia="方正黑体_GBK" w:cs="方正黑体_GBK"/>
          <w:b w:val="0"/>
          <w:bCs w:val="0"/>
          <w:color w:val="333333"/>
          <w:sz w:val="32"/>
          <w:szCs w:val="32"/>
          <w:lang w:eastAsia="zh-CN"/>
        </w:rPr>
      </w:pPr>
      <w:r>
        <w:rPr>
          <w:rStyle w:val="13"/>
          <w:rFonts w:hint="eastAsia" w:ascii="方正黑体_GBK" w:hAnsi="方正黑体_GBK" w:eastAsia="方正黑体_GBK" w:cs="方正黑体_GBK"/>
          <w:b w:val="0"/>
          <w:bCs w:val="0"/>
          <w:color w:val="333333"/>
          <w:sz w:val="32"/>
          <w:szCs w:val="32"/>
          <w:lang w:eastAsia="zh-CN"/>
        </w:rPr>
        <w:t>二、项目简介</w:t>
      </w:r>
    </w:p>
    <w:p>
      <w:pPr>
        <w:pStyle w:val="9"/>
        <w:keepNext w:val="0"/>
        <w:keepLines w:val="0"/>
        <w:pageBreakBefore w:val="0"/>
        <w:widowControl/>
        <w:kinsoku/>
        <w:wordWrap/>
        <w:overflowPunct/>
        <w:topLinePunct w:val="0"/>
        <w:autoSpaceDE/>
        <w:autoSpaceDN/>
        <w:bidi w:val="0"/>
        <w:snapToGrid w:val="0"/>
        <w:spacing w:before="0" w:beforeAutospacing="0" w:after="0" w:afterAutospacing="0" w:line="560" w:lineRule="exact"/>
        <w:ind w:right="0" w:rightChars="0" w:firstLine="640" w:firstLineChars="200"/>
        <w:jc w:val="left"/>
        <w:textAlignment w:val="baseline"/>
        <w:outlineLvl w:val="0"/>
        <w:rPr>
          <w:rFonts w:hint="eastAsia" w:ascii="宋体" w:hAnsi="宋体" w:eastAsia="方正仿宋_GBK" w:cstheme="minorBidi"/>
          <w:sz w:val="32"/>
          <w:szCs w:val="32"/>
          <w:lang w:val="en-US" w:eastAsia="zh-CN" w:bidi="ar-SA"/>
        </w:rPr>
      </w:pPr>
      <w:r>
        <w:rPr>
          <w:rFonts w:hint="eastAsia" w:ascii="宋体" w:hAnsi="宋体" w:eastAsia="方正仿宋_GBK" w:cstheme="minorBidi"/>
          <w:sz w:val="32"/>
          <w:szCs w:val="32"/>
          <w:lang w:val="en-US" w:eastAsia="zh-CN" w:bidi="ar-SA"/>
        </w:rPr>
        <w:t>河湖健康评价是河湖管理工作的重要内容，是检验河湖长制“有名”“有实”的重要手段。为更好地做好河湖健康评价工作，掌握湖泊健康变化的规律，项目从2011年开始先后对抚仙湖、清水河、程海等河湖开展健康评估试点工作，研究构建具有云南省特色的高原湖泊和山区性河流健康评估指标体系和评估方法，为制定河湖可持续发展战略、规划和健康管理提供科学依据和借鉴。该项目为解决河湖健康评估指标体系不完善、评估方法不统一、水生生物监测数据资料匮乏等存在的难题，在指标体系构建、评估指标调查监测技术要求、湖库靶向治理目标识别技术等方面开展了研究并取得以下创新成果：</w:t>
      </w:r>
    </w:p>
    <w:p>
      <w:pPr>
        <w:pStyle w:val="9"/>
        <w:keepNext w:val="0"/>
        <w:keepLines w:val="0"/>
        <w:pageBreakBefore w:val="0"/>
        <w:widowControl/>
        <w:kinsoku/>
        <w:wordWrap/>
        <w:overflowPunct/>
        <w:topLinePunct w:val="0"/>
        <w:autoSpaceDE/>
        <w:autoSpaceDN/>
        <w:bidi w:val="0"/>
        <w:snapToGrid w:val="0"/>
        <w:spacing w:before="0" w:beforeAutospacing="0" w:after="0" w:afterAutospacing="0" w:line="560" w:lineRule="exact"/>
        <w:ind w:right="0" w:rightChars="0" w:firstLine="640" w:firstLineChars="200"/>
        <w:jc w:val="left"/>
        <w:textAlignment w:val="baseline"/>
        <w:outlineLvl w:val="0"/>
        <w:rPr>
          <w:rFonts w:hint="eastAsia" w:ascii="宋体" w:hAnsi="宋体" w:eastAsia="方正仿宋_GBK" w:cstheme="minorBidi"/>
          <w:sz w:val="32"/>
          <w:szCs w:val="32"/>
          <w:lang w:val="en-US" w:eastAsia="zh-CN" w:bidi="ar-SA"/>
        </w:rPr>
      </w:pPr>
      <w:r>
        <w:rPr>
          <w:rFonts w:hint="eastAsia" w:ascii="宋体" w:hAnsi="宋体" w:eastAsia="方正仿宋_GBK" w:cstheme="minorBidi"/>
          <w:sz w:val="32"/>
          <w:szCs w:val="32"/>
          <w:lang w:val="en-US" w:eastAsia="zh-CN" w:bidi="ar-SA"/>
        </w:rPr>
        <w:t>1.首次开展云南省河湖健康评估，为抚仙湖、星云湖、清水河、程海、五郎河、仙人河建立第一份“体检报告”。为多个州</w:t>
      </w:r>
      <w:r>
        <w:rPr>
          <w:rFonts w:hint="eastAsia" w:eastAsia="方正仿宋_GBK" w:cstheme="minorBidi"/>
          <w:sz w:val="32"/>
          <w:szCs w:val="32"/>
          <w:lang w:val="en-US" w:eastAsia="zh-CN" w:bidi="ar-SA"/>
        </w:rPr>
        <w:t>（</w:t>
      </w:r>
      <w:r>
        <w:rPr>
          <w:rFonts w:hint="eastAsia" w:ascii="宋体" w:hAnsi="宋体" w:eastAsia="方正仿宋_GBK" w:cstheme="minorBidi"/>
          <w:sz w:val="32"/>
          <w:szCs w:val="32"/>
          <w:lang w:val="en-US" w:eastAsia="zh-CN" w:bidi="ar-SA"/>
        </w:rPr>
        <w:t>市</w:t>
      </w:r>
      <w:r>
        <w:rPr>
          <w:rFonts w:hint="eastAsia" w:eastAsia="方正仿宋_GBK" w:cstheme="minorBidi"/>
          <w:sz w:val="32"/>
          <w:szCs w:val="32"/>
          <w:lang w:val="en-US" w:eastAsia="zh-CN" w:bidi="ar-SA"/>
        </w:rPr>
        <w:t>）</w:t>
      </w:r>
      <w:r>
        <w:rPr>
          <w:rFonts w:hint="eastAsia" w:ascii="宋体" w:hAnsi="宋体" w:eastAsia="方正仿宋_GBK" w:cstheme="minorBidi"/>
          <w:sz w:val="32"/>
          <w:szCs w:val="32"/>
          <w:lang w:val="en-US" w:eastAsia="zh-CN" w:bidi="ar-SA"/>
        </w:rPr>
        <w:t>水行政主管部门制定流域规划、区域规划、行业规划，部分州市“一河一策</w:t>
      </w:r>
      <w:r>
        <w:rPr>
          <w:rFonts w:hint="eastAsia" w:eastAsia="方正仿宋_GBK" w:cstheme="minorBidi"/>
          <w:sz w:val="32"/>
          <w:szCs w:val="32"/>
          <w:lang w:val="en-US" w:eastAsia="zh-CN" w:bidi="ar-SA"/>
        </w:rPr>
        <w:t>”“</w:t>
      </w:r>
      <w:r>
        <w:rPr>
          <w:rFonts w:hint="eastAsia" w:ascii="宋体" w:hAnsi="宋体" w:eastAsia="方正仿宋_GBK" w:cstheme="minorBidi"/>
          <w:sz w:val="32"/>
          <w:szCs w:val="32"/>
          <w:lang w:val="en-US" w:eastAsia="zh-CN" w:bidi="ar-SA"/>
        </w:rPr>
        <w:t>一湖一策”行动方案等工作提供了重要参考依据，为河湖有效保护和合理开发决策提供有力的技术支撑。</w:t>
      </w:r>
    </w:p>
    <w:p>
      <w:pPr>
        <w:pStyle w:val="9"/>
        <w:keepNext w:val="0"/>
        <w:keepLines w:val="0"/>
        <w:pageBreakBefore w:val="0"/>
        <w:widowControl/>
        <w:kinsoku/>
        <w:wordWrap/>
        <w:overflowPunct/>
        <w:topLinePunct w:val="0"/>
        <w:autoSpaceDE/>
        <w:autoSpaceDN/>
        <w:bidi w:val="0"/>
        <w:snapToGrid w:val="0"/>
        <w:spacing w:before="0" w:beforeAutospacing="0" w:after="0" w:afterAutospacing="0" w:line="560" w:lineRule="exact"/>
        <w:ind w:right="0" w:rightChars="0" w:firstLine="640" w:firstLineChars="200"/>
        <w:jc w:val="left"/>
        <w:textAlignment w:val="baseline"/>
        <w:outlineLvl w:val="0"/>
        <w:rPr>
          <w:rFonts w:hint="eastAsia" w:ascii="宋体" w:hAnsi="宋体" w:eastAsia="方正仿宋_GBK" w:cstheme="minorBidi"/>
          <w:sz w:val="32"/>
          <w:szCs w:val="32"/>
          <w:lang w:val="en-US" w:eastAsia="zh-CN" w:bidi="ar-SA"/>
        </w:rPr>
      </w:pPr>
      <w:r>
        <w:rPr>
          <w:rFonts w:hint="eastAsia" w:ascii="宋体" w:hAnsi="宋体" w:eastAsia="方正仿宋_GBK" w:cstheme="minorBidi"/>
          <w:sz w:val="32"/>
          <w:szCs w:val="32"/>
          <w:lang w:val="en-US" w:eastAsia="zh-CN" w:bidi="ar-SA"/>
        </w:rPr>
        <w:t>2.项目研究构建了云南省河湖健康评估指标体系和评估方法，确定了各评估指标的调查监测技术要求。在云南省水利水电勘测设计院、临沧润汀水资源科技服务有限公司、丽江市水务局、玉溪市水利局、文山州水务局等多家单位推广应用，取得显著效果；同时为《河湖健康评估技术导则》（SL/T793-2020）、《河湖健康评价指南（试行）》和《云南省河湖库渠健康评价指南（试行）》的制定，提供了不同类型河湖健康评价实践证明。</w:t>
      </w:r>
    </w:p>
    <w:p>
      <w:pPr>
        <w:pStyle w:val="9"/>
        <w:keepNext w:val="0"/>
        <w:keepLines w:val="0"/>
        <w:pageBreakBefore w:val="0"/>
        <w:widowControl/>
        <w:kinsoku/>
        <w:wordWrap/>
        <w:overflowPunct/>
        <w:topLinePunct w:val="0"/>
        <w:autoSpaceDE/>
        <w:autoSpaceDN/>
        <w:bidi w:val="0"/>
        <w:snapToGrid w:val="0"/>
        <w:spacing w:before="0" w:beforeAutospacing="0" w:after="0" w:afterAutospacing="0" w:line="560" w:lineRule="exact"/>
        <w:ind w:right="0" w:rightChars="0" w:firstLine="640" w:firstLineChars="200"/>
        <w:jc w:val="left"/>
        <w:textAlignment w:val="baseline"/>
        <w:outlineLvl w:val="0"/>
        <w:rPr>
          <w:rFonts w:hint="eastAsia" w:ascii="宋体" w:hAnsi="宋体" w:eastAsia="方正仿宋_GBK" w:cstheme="minorBidi"/>
          <w:sz w:val="32"/>
          <w:szCs w:val="32"/>
          <w:lang w:val="en-US" w:eastAsia="zh-CN" w:bidi="ar-SA"/>
        </w:rPr>
      </w:pPr>
      <w:r>
        <w:rPr>
          <w:rFonts w:hint="eastAsia" w:ascii="宋体" w:hAnsi="宋体" w:eastAsia="方正仿宋_GBK" w:cstheme="minorBidi"/>
          <w:sz w:val="32"/>
          <w:szCs w:val="32"/>
          <w:lang w:val="en-US" w:eastAsia="zh-CN" w:bidi="ar-SA"/>
        </w:rPr>
        <w:t>3、将遥感影像解译技术运用于河湖滨带物理结构指标分区调查分析，提高指标评估精度。</w:t>
      </w:r>
    </w:p>
    <w:p>
      <w:pPr>
        <w:pStyle w:val="9"/>
        <w:keepNext w:val="0"/>
        <w:keepLines w:val="0"/>
        <w:pageBreakBefore w:val="0"/>
        <w:widowControl/>
        <w:kinsoku/>
        <w:wordWrap/>
        <w:overflowPunct/>
        <w:topLinePunct w:val="0"/>
        <w:autoSpaceDE/>
        <w:autoSpaceDN/>
        <w:bidi w:val="0"/>
        <w:snapToGrid w:val="0"/>
        <w:spacing w:before="0" w:beforeAutospacing="0" w:after="0" w:afterAutospacing="0" w:line="560" w:lineRule="exact"/>
        <w:ind w:right="0" w:rightChars="0" w:firstLine="640" w:firstLineChars="200"/>
        <w:jc w:val="left"/>
        <w:textAlignment w:val="baseline"/>
        <w:outlineLvl w:val="0"/>
        <w:rPr>
          <w:rFonts w:hint="eastAsia" w:ascii="宋体" w:hAnsi="宋体" w:eastAsia="方正仿宋_GBK" w:cstheme="minorBidi"/>
          <w:sz w:val="32"/>
          <w:szCs w:val="32"/>
          <w:lang w:val="en-US" w:eastAsia="zh-CN" w:bidi="ar-SA"/>
        </w:rPr>
      </w:pPr>
      <w:r>
        <w:rPr>
          <w:rFonts w:hint="eastAsia" w:ascii="宋体" w:hAnsi="宋体" w:eastAsia="方正仿宋_GBK" w:cstheme="minorBidi"/>
          <w:sz w:val="32"/>
          <w:szCs w:val="32"/>
          <w:lang w:val="en-US" w:eastAsia="zh-CN" w:bidi="ar-SA"/>
        </w:rPr>
        <w:t>4、首次采用生态流量评估及分析计算方法进行湖泊水位变异分析，引入湖泊水位健康指数概念。</w:t>
      </w:r>
    </w:p>
    <w:p>
      <w:pPr>
        <w:pStyle w:val="9"/>
        <w:keepNext w:val="0"/>
        <w:keepLines w:val="0"/>
        <w:pageBreakBefore w:val="0"/>
        <w:widowControl/>
        <w:kinsoku/>
        <w:wordWrap/>
        <w:overflowPunct/>
        <w:topLinePunct w:val="0"/>
        <w:autoSpaceDE/>
        <w:autoSpaceDN/>
        <w:bidi w:val="0"/>
        <w:snapToGrid w:val="0"/>
        <w:spacing w:before="0" w:beforeAutospacing="0" w:after="0" w:afterAutospacing="0" w:line="560" w:lineRule="exact"/>
        <w:ind w:right="0" w:rightChars="0" w:firstLine="640" w:firstLineChars="200"/>
        <w:jc w:val="left"/>
        <w:textAlignment w:val="baseline"/>
        <w:outlineLvl w:val="0"/>
        <w:rPr>
          <w:rFonts w:hint="eastAsia" w:ascii="宋体" w:hAnsi="宋体" w:eastAsia="方正仿宋_GBK" w:cstheme="minorBidi"/>
          <w:sz w:val="32"/>
          <w:szCs w:val="32"/>
          <w:lang w:val="en-US" w:eastAsia="zh-CN" w:bidi="ar-SA"/>
        </w:rPr>
      </w:pPr>
      <w:r>
        <w:rPr>
          <w:rFonts w:hint="eastAsia" w:ascii="宋体" w:hAnsi="宋体" w:eastAsia="方正仿宋_GBK" w:cstheme="minorBidi"/>
          <w:sz w:val="32"/>
          <w:szCs w:val="32"/>
          <w:lang w:val="en-US" w:eastAsia="zh-CN" w:bidi="ar-SA"/>
        </w:rPr>
        <w:t>5、研发“湖库靶向治理目标识别技术—基于空间马尔科夫链及灰色系统法”解决了复杂湖库流域营养物治理对象不明确的问题。</w:t>
      </w:r>
    </w:p>
    <w:p>
      <w:pPr>
        <w:pStyle w:val="9"/>
        <w:keepNext w:val="0"/>
        <w:keepLines w:val="0"/>
        <w:pageBreakBefore w:val="0"/>
        <w:widowControl/>
        <w:kinsoku/>
        <w:wordWrap/>
        <w:overflowPunct/>
        <w:topLinePunct w:val="0"/>
        <w:autoSpaceDE/>
        <w:autoSpaceDN/>
        <w:bidi w:val="0"/>
        <w:snapToGrid w:val="0"/>
        <w:spacing w:before="0" w:beforeAutospacing="0" w:after="0" w:afterAutospacing="0" w:line="560" w:lineRule="exact"/>
        <w:ind w:right="0" w:rightChars="0" w:firstLine="640" w:firstLineChars="200"/>
        <w:jc w:val="left"/>
        <w:textAlignment w:val="baseline"/>
        <w:outlineLvl w:val="0"/>
        <w:rPr>
          <w:rFonts w:hint="eastAsia" w:ascii="宋体" w:hAnsi="宋体" w:eastAsia="方正仿宋_GBK" w:cstheme="minorBidi"/>
          <w:sz w:val="32"/>
          <w:szCs w:val="32"/>
          <w:lang w:val="en-US" w:eastAsia="zh-CN" w:bidi="ar-SA"/>
        </w:rPr>
      </w:pPr>
      <w:r>
        <w:rPr>
          <w:rFonts w:hint="eastAsia" w:ascii="宋体" w:hAnsi="宋体" w:eastAsia="方正仿宋_GBK" w:cstheme="minorBidi"/>
          <w:sz w:val="32"/>
          <w:szCs w:val="32"/>
          <w:lang w:val="en-US" w:eastAsia="zh-CN" w:bidi="ar-SA"/>
        </w:rPr>
        <w:t>6、项目发表论文10篇，出版专著2本，获得实用新型专利1件，累计开展河湖健康评估技术培训300余人次。项目成果为我省全面开展河湖健康评估工作，提供了强有力的技术支持，创造了突出的社会效益和生态效益。</w:t>
      </w:r>
    </w:p>
    <w:p>
      <w:pPr>
        <w:pStyle w:val="9"/>
        <w:keepNext w:val="0"/>
        <w:keepLines w:val="0"/>
        <w:pageBreakBefore w:val="0"/>
        <w:widowControl/>
        <w:kinsoku/>
        <w:wordWrap/>
        <w:overflowPunct/>
        <w:topLinePunct w:val="0"/>
        <w:autoSpaceDE/>
        <w:autoSpaceDN/>
        <w:bidi w:val="0"/>
        <w:snapToGrid w:val="0"/>
        <w:spacing w:before="0" w:beforeAutospacing="0" w:after="0" w:afterAutospacing="0" w:line="560" w:lineRule="exact"/>
        <w:ind w:left="0" w:leftChars="0" w:right="0" w:rightChars="0" w:firstLine="420"/>
        <w:jc w:val="left"/>
        <w:textAlignment w:val="baseline"/>
        <w:outlineLvl w:val="0"/>
        <w:rPr>
          <w:rStyle w:val="13"/>
          <w:rFonts w:hint="eastAsia" w:ascii="方正黑体_GBK" w:hAnsi="方正黑体_GBK" w:eastAsia="方正黑体_GBK" w:cs="方正黑体_GBK"/>
          <w:b w:val="0"/>
          <w:bCs w:val="0"/>
          <w:color w:val="333333"/>
          <w:sz w:val="32"/>
          <w:szCs w:val="32"/>
        </w:rPr>
      </w:pPr>
      <w:r>
        <w:rPr>
          <w:rStyle w:val="13"/>
          <w:rFonts w:hint="eastAsia" w:ascii="方正黑体_GBK" w:hAnsi="方正黑体_GBK" w:eastAsia="方正黑体_GBK" w:cs="方正黑体_GBK"/>
          <w:b w:val="0"/>
          <w:bCs w:val="0"/>
          <w:color w:val="333333"/>
          <w:sz w:val="32"/>
          <w:szCs w:val="32"/>
          <w:lang w:eastAsia="zh-CN"/>
        </w:rPr>
        <w:t>三</w:t>
      </w:r>
      <w:r>
        <w:rPr>
          <w:rStyle w:val="13"/>
          <w:rFonts w:hint="eastAsia" w:ascii="方正黑体_GBK" w:hAnsi="方正黑体_GBK" w:eastAsia="方正黑体_GBK" w:cs="方正黑体_GBK"/>
          <w:b w:val="0"/>
          <w:bCs w:val="0"/>
          <w:color w:val="333333"/>
          <w:sz w:val="32"/>
          <w:szCs w:val="32"/>
        </w:rPr>
        <w:t>、主要知识产权和标准规范</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firstLineChars="200"/>
        <w:jc w:val="left"/>
        <w:textAlignment w:val="auto"/>
        <w:outlineLvl w:val="1"/>
        <w:rPr>
          <w:rFonts w:hint="eastAsia" w:ascii="方正楷体_GBK" w:hAnsi="方正楷体_GBK" w:eastAsia="方正楷体_GBK" w:cs="方正楷体_GBK"/>
          <w:b w:val="0"/>
          <w:bCs w:val="0"/>
          <w:sz w:val="30"/>
          <w:szCs w:val="30"/>
          <w:lang w:eastAsia="zh-CN"/>
        </w:rPr>
      </w:pPr>
      <w:r>
        <w:rPr>
          <w:rFonts w:hint="eastAsia" w:ascii="方正楷体_GBK" w:hAnsi="方正楷体_GBK" w:eastAsia="方正楷体_GBK" w:cs="方正楷体_GBK"/>
          <w:b w:val="0"/>
          <w:bCs w:val="0"/>
          <w:sz w:val="30"/>
          <w:szCs w:val="30"/>
          <w:lang w:eastAsia="zh-CN"/>
        </w:rPr>
        <w:t>（一）授权专利、软件著作权、标准、规范等情况</w:t>
      </w:r>
    </w:p>
    <w:tbl>
      <w:tblPr>
        <w:tblStyle w:val="11"/>
        <w:tblW w:w="92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4"/>
        <w:gridCol w:w="840"/>
        <w:gridCol w:w="1374"/>
        <w:gridCol w:w="684"/>
        <w:gridCol w:w="1026"/>
        <w:gridCol w:w="792"/>
        <w:gridCol w:w="1164"/>
        <w:gridCol w:w="1098"/>
        <w:gridCol w:w="1074"/>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序</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号</w:t>
            </w:r>
          </w:p>
        </w:tc>
        <w:tc>
          <w:tcPr>
            <w:tcW w:w="84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知识产权（标准）类别</w:t>
            </w:r>
          </w:p>
        </w:tc>
        <w:tc>
          <w:tcPr>
            <w:tcW w:w="137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知识产权（标准）具体名称</w:t>
            </w:r>
          </w:p>
        </w:tc>
        <w:tc>
          <w:tcPr>
            <w:tcW w:w="68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国家</w:t>
            </w:r>
            <w:r>
              <w:rPr>
                <w:rFonts w:hint="default" w:ascii="Times New Roman" w:hAnsi="Times New Roman" w:eastAsia="方正仿宋_GBK" w:cs="Times New Roman"/>
                <w:sz w:val="21"/>
                <w:szCs w:val="21"/>
                <w:lang w:eastAsia="zh-CN"/>
              </w:rPr>
              <w:t>（</w:t>
            </w:r>
            <w:r>
              <w:rPr>
                <w:rFonts w:hint="default" w:ascii="Times New Roman" w:hAnsi="Times New Roman" w:eastAsia="方正仿宋_GBK" w:cs="Times New Roman"/>
                <w:sz w:val="21"/>
                <w:szCs w:val="21"/>
              </w:rPr>
              <w:t>地区）</w:t>
            </w:r>
          </w:p>
        </w:tc>
        <w:tc>
          <w:tcPr>
            <w:tcW w:w="102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授权号</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（标准</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编号）</w:t>
            </w:r>
          </w:p>
        </w:tc>
        <w:tc>
          <w:tcPr>
            <w:tcW w:w="792"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授权（标准发布）日期</w:t>
            </w:r>
          </w:p>
        </w:tc>
        <w:tc>
          <w:tcPr>
            <w:tcW w:w="116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证书编号（标准批</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准发布部</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门）</w:t>
            </w:r>
          </w:p>
        </w:tc>
        <w:tc>
          <w:tcPr>
            <w:tcW w:w="1098"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权利人（标准起草单位）</w:t>
            </w:r>
          </w:p>
        </w:tc>
        <w:tc>
          <w:tcPr>
            <w:tcW w:w="107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发明人（标准起草人）</w:t>
            </w:r>
          </w:p>
        </w:tc>
        <w:tc>
          <w:tcPr>
            <w:tcW w:w="906"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发明专利（标准）有效状态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 w:type="dxa"/>
            <w:vAlign w:val="center"/>
          </w:tcPr>
          <w:p>
            <w:pPr>
              <w:pStyle w:val="2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方正仿宋_GBK" w:cs="Times New Roman"/>
                <w:sz w:val="21"/>
                <w:szCs w:val="21"/>
                <w:vertAlign w:val="baseline"/>
                <w:lang w:val="en-US" w:eastAsia="zh-CN"/>
              </w:rPr>
            </w:pPr>
            <w:r>
              <w:rPr>
                <w:rFonts w:hint="default" w:ascii="Times New Roman" w:hAnsi="Times New Roman" w:eastAsia="方正仿宋_GBK" w:cs="Times New Roman"/>
                <w:sz w:val="21"/>
                <w:szCs w:val="21"/>
                <w:vertAlign w:val="baseline"/>
                <w:lang w:val="en-US" w:eastAsia="zh-CN"/>
              </w:rPr>
              <w:t>1</w:t>
            </w:r>
          </w:p>
        </w:tc>
        <w:tc>
          <w:tcPr>
            <w:tcW w:w="840" w:type="dxa"/>
            <w:vAlign w:val="center"/>
          </w:tcPr>
          <w:p>
            <w:pPr>
              <w:pStyle w:val="2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方正仿宋_GBK" w:cs="Times New Roman"/>
                <w:sz w:val="21"/>
                <w:szCs w:val="21"/>
                <w:vertAlign w:val="baseline"/>
                <w:lang w:val="en-US" w:eastAsia="zh-CN"/>
              </w:rPr>
            </w:pPr>
            <w:r>
              <w:rPr>
                <w:rFonts w:hint="default" w:ascii="Times New Roman" w:hAnsi="Times New Roman" w:eastAsia="方正仿宋_GBK" w:cs="Times New Roman"/>
                <w:sz w:val="21"/>
                <w:szCs w:val="21"/>
              </w:rPr>
              <w:t>实用新型</w:t>
            </w:r>
          </w:p>
        </w:tc>
        <w:tc>
          <w:tcPr>
            <w:tcW w:w="1374" w:type="dxa"/>
            <w:vAlign w:val="center"/>
          </w:tcPr>
          <w:p>
            <w:pPr>
              <w:keepNext w:val="0"/>
              <w:keepLines w:val="0"/>
              <w:pageBreakBefore w:val="0"/>
              <w:widowControl w:val="0"/>
              <w:kinsoku/>
              <w:wordWrap/>
              <w:overflowPunct/>
              <w:topLinePunct w:val="0"/>
              <w:autoSpaceDE/>
              <w:autoSpaceDN/>
              <w:bidi w:val="0"/>
              <w:adjustRightInd/>
              <w:snapToGrid w:val="0"/>
              <w:spacing w:beforeLines="0" w:afterLines="0" w:line="240" w:lineRule="auto"/>
              <w:ind w:firstLine="0" w:firstLineChars="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一种便携式湖库垂向水温连续实时自动监测装</w:t>
            </w:r>
          </w:p>
          <w:p>
            <w:pPr>
              <w:keepNext w:val="0"/>
              <w:keepLines w:val="0"/>
              <w:pageBreakBefore w:val="0"/>
              <w:widowControl w:val="0"/>
              <w:kinsoku/>
              <w:wordWrap/>
              <w:overflowPunct/>
              <w:topLinePunct w:val="0"/>
              <w:autoSpaceDE/>
              <w:autoSpaceDN/>
              <w:bidi w:val="0"/>
              <w:adjustRightInd/>
              <w:snapToGrid w:val="0"/>
              <w:spacing w:beforeLines="0" w:afterLines="0" w:line="240" w:lineRule="auto"/>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置</w:t>
            </w:r>
          </w:p>
        </w:tc>
        <w:tc>
          <w:tcPr>
            <w:tcW w:w="684" w:type="dxa"/>
            <w:vAlign w:val="center"/>
          </w:tcPr>
          <w:p>
            <w:pPr>
              <w:pStyle w:val="2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方正仿宋_GBK" w:cs="Times New Roman"/>
                <w:sz w:val="21"/>
                <w:szCs w:val="21"/>
                <w:vertAlign w:val="baseline"/>
                <w:lang w:val="en-US" w:eastAsia="zh-CN"/>
              </w:rPr>
            </w:pPr>
            <w:r>
              <w:rPr>
                <w:rFonts w:hint="default" w:ascii="Times New Roman" w:hAnsi="Times New Roman" w:eastAsia="方正仿宋_GBK" w:cs="Times New Roman"/>
                <w:sz w:val="21"/>
                <w:szCs w:val="21"/>
              </w:rPr>
              <w:t>中国</w:t>
            </w:r>
          </w:p>
        </w:tc>
        <w:tc>
          <w:tcPr>
            <w:tcW w:w="1026" w:type="dxa"/>
            <w:vAlign w:val="center"/>
          </w:tcPr>
          <w:p>
            <w:pPr>
              <w:keepNext w:val="0"/>
              <w:keepLines w:val="0"/>
              <w:pageBreakBefore w:val="0"/>
              <w:widowControl w:val="0"/>
              <w:kinsoku/>
              <w:wordWrap/>
              <w:overflowPunct/>
              <w:topLinePunct w:val="0"/>
              <w:autoSpaceDE/>
              <w:autoSpaceDN/>
              <w:bidi w:val="0"/>
              <w:adjustRightInd/>
              <w:snapToGrid w:val="0"/>
              <w:spacing w:beforeLines="0" w:afterLines="0" w:line="240" w:lineRule="auto"/>
              <w:ind w:firstLine="0" w:firstLineChars="0"/>
              <w:jc w:val="center"/>
              <w:textAlignment w:val="auto"/>
              <w:rPr>
                <w:rFonts w:hint="default" w:ascii="Times New Roman" w:hAnsi="Times New Roman" w:eastAsia="方正仿宋_GBK" w:cs="Times New Roman"/>
                <w:sz w:val="21"/>
                <w:szCs w:val="21"/>
                <w:vertAlign w:val="baseline"/>
                <w:lang w:val="en-US" w:eastAsia="zh-CN"/>
              </w:rPr>
            </w:pPr>
            <w:r>
              <w:rPr>
                <w:rFonts w:hint="default" w:ascii="Times New Roman" w:hAnsi="Times New Roman" w:eastAsia="方正仿宋_GBK" w:cs="Times New Roman"/>
                <w:sz w:val="21"/>
                <w:szCs w:val="21"/>
              </w:rPr>
              <w:t>CN207317969U</w:t>
            </w:r>
          </w:p>
        </w:tc>
        <w:tc>
          <w:tcPr>
            <w:tcW w:w="792" w:type="dxa"/>
            <w:vAlign w:val="center"/>
          </w:tcPr>
          <w:p>
            <w:pPr>
              <w:keepNext w:val="0"/>
              <w:keepLines w:val="0"/>
              <w:pageBreakBefore w:val="0"/>
              <w:widowControl w:val="0"/>
              <w:kinsoku/>
              <w:wordWrap/>
              <w:overflowPunct/>
              <w:topLinePunct w:val="0"/>
              <w:autoSpaceDE/>
              <w:autoSpaceDN/>
              <w:bidi w:val="0"/>
              <w:adjustRightInd/>
              <w:snapToGrid w:val="0"/>
              <w:spacing w:beforeLines="0" w:afterLines="0" w:line="240" w:lineRule="auto"/>
              <w:ind w:firstLine="0" w:firstLineChars="0"/>
              <w:jc w:val="center"/>
              <w:textAlignment w:val="auto"/>
              <w:rPr>
                <w:rFonts w:hint="default" w:ascii="Times New Roman" w:hAnsi="Times New Roman" w:eastAsia="方正仿宋_GBK" w:cs="Times New Roman"/>
                <w:sz w:val="21"/>
                <w:szCs w:val="21"/>
                <w:vertAlign w:val="baseline"/>
                <w:lang w:val="en-US" w:eastAsia="zh-CN"/>
              </w:rPr>
            </w:pPr>
            <w:r>
              <w:rPr>
                <w:rFonts w:hint="default" w:ascii="Times New Roman" w:hAnsi="Times New Roman" w:eastAsia="方正仿宋_GBK" w:cs="Times New Roman"/>
                <w:sz w:val="21"/>
                <w:szCs w:val="21"/>
              </w:rPr>
              <w:t>2018-05-04</w:t>
            </w:r>
          </w:p>
        </w:tc>
        <w:tc>
          <w:tcPr>
            <w:tcW w:w="1164" w:type="dxa"/>
            <w:vAlign w:val="center"/>
          </w:tcPr>
          <w:p>
            <w:pPr>
              <w:keepNext w:val="0"/>
              <w:keepLines w:val="0"/>
              <w:pageBreakBefore w:val="0"/>
              <w:widowControl w:val="0"/>
              <w:kinsoku/>
              <w:wordWrap/>
              <w:overflowPunct/>
              <w:topLinePunct w:val="0"/>
              <w:autoSpaceDE/>
              <w:autoSpaceDN/>
              <w:bidi w:val="0"/>
              <w:adjustRightInd/>
              <w:snapToGrid w:val="0"/>
              <w:spacing w:beforeLines="0" w:afterLines="0" w:line="240" w:lineRule="auto"/>
              <w:ind w:firstLine="0" w:firstLineChars="0"/>
              <w:jc w:val="center"/>
              <w:textAlignment w:val="auto"/>
              <w:rPr>
                <w:rFonts w:hint="default" w:ascii="Times New Roman" w:hAnsi="Times New Roman" w:eastAsia="方正仿宋_GBK" w:cs="Times New Roman"/>
                <w:sz w:val="21"/>
                <w:szCs w:val="21"/>
                <w:vertAlign w:val="baseline"/>
                <w:lang w:val="en-US" w:eastAsia="zh-CN"/>
              </w:rPr>
            </w:pPr>
            <w:r>
              <w:rPr>
                <w:rFonts w:hint="default" w:ascii="Times New Roman" w:hAnsi="Times New Roman" w:eastAsia="方正仿宋_GBK" w:cs="Times New Roman"/>
                <w:sz w:val="21"/>
                <w:szCs w:val="21"/>
              </w:rPr>
              <w:t>CN201721485380.8</w:t>
            </w:r>
          </w:p>
        </w:tc>
        <w:tc>
          <w:tcPr>
            <w:tcW w:w="1098" w:type="dxa"/>
            <w:vAlign w:val="center"/>
          </w:tcPr>
          <w:p>
            <w:pPr>
              <w:keepNext w:val="0"/>
              <w:keepLines w:val="0"/>
              <w:pageBreakBefore w:val="0"/>
              <w:widowControl w:val="0"/>
              <w:kinsoku/>
              <w:wordWrap/>
              <w:overflowPunct/>
              <w:topLinePunct w:val="0"/>
              <w:autoSpaceDE/>
              <w:autoSpaceDN/>
              <w:bidi w:val="0"/>
              <w:adjustRightInd/>
              <w:snapToGrid w:val="0"/>
              <w:spacing w:beforeLines="0" w:afterLines="0" w:line="240" w:lineRule="exact"/>
              <w:ind w:firstLine="0" w:firstLineChars="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中国水利</w:t>
            </w:r>
          </w:p>
          <w:p>
            <w:pPr>
              <w:keepNext w:val="0"/>
              <w:keepLines w:val="0"/>
              <w:pageBreakBefore w:val="0"/>
              <w:widowControl w:val="0"/>
              <w:kinsoku/>
              <w:wordWrap/>
              <w:overflowPunct/>
              <w:topLinePunct w:val="0"/>
              <w:autoSpaceDE/>
              <w:autoSpaceDN/>
              <w:bidi w:val="0"/>
              <w:adjustRightInd/>
              <w:snapToGrid w:val="0"/>
              <w:spacing w:beforeLines="0" w:afterLines="0" w:line="240" w:lineRule="exact"/>
              <w:ind w:firstLine="0" w:firstLineChars="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水电科学</w:t>
            </w:r>
          </w:p>
          <w:p>
            <w:pPr>
              <w:keepNext w:val="0"/>
              <w:keepLines w:val="0"/>
              <w:pageBreakBefore w:val="0"/>
              <w:widowControl w:val="0"/>
              <w:kinsoku/>
              <w:wordWrap/>
              <w:overflowPunct/>
              <w:topLinePunct w:val="0"/>
              <w:autoSpaceDE/>
              <w:autoSpaceDN/>
              <w:bidi w:val="0"/>
              <w:adjustRightInd/>
              <w:snapToGrid w:val="0"/>
              <w:spacing w:beforeLines="0" w:afterLines="0" w:line="240" w:lineRule="exact"/>
              <w:ind w:firstLine="0" w:firstLineChars="0"/>
              <w:jc w:val="center"/>
              <w:textAlignment w:val="auto"/>
              <w:rPr>
                <w:rFonts w:hint="default" w:ascii="Times New Roman" w:hAnsi="Times New Roman" w:eastAsia="方正仿宋_GBK" w:cs="Times New Roman"/>
                <w:sz w:val="21"/>
                <w:szCs w:val="21"/>
                <w:lang w:val="en-US" w:eastAsia="zh-CN"/>
              </w:rPr>
            </w:pPr>
            <w:r>
              <w:rPr>
                <w:rFonts w:hint="default" w:ascii="Times New Roman" w:hAnsi="Times New Roman" w:eastAsia="方正仿宋_GBK" w:cs="Times New Roman"/>
                <w:sz w:val="21"/>
                <w:szCs w:val="21"/>
              </w:rPr>
              <w:t>研究院</w:t>
            </w:r>
          </w:p>
        </w:tc>
        <w:tc>
          <w:tcPr>
            <w:tcW w:w="1074" w:type="dxa"/>
            <w:vAlign w:val="center"/>
          </w:tcPr>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center"/>
              <w:textAlignment w:val="auto"/>
              <w:outlineLvl w:val="1"/>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sz w:val="21"/>
                <w:szCs w:val="21"/>
              </w:rPr>
              <w:t>刘晓波</w:t>
            </w:r>
            <w:r>
              <w:rPr>
                <w:rFonts w:hint="eastAsia" w:ascii="方正仿宋_GBK" w:hAnsi="方正仿宋_GBK" w:eastAsia="方正仿宋_GBK" w:cs="方正仿宋_GBK"/>
                <w:sz w:val="21"/>
                <w:szCs w:val="21"/>
                <w:lang w:eastAsia="zh-CN"/>
              </w:rPr>
              <w:t>、</w:t>
            </w:r>
          </w:p>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center"/>
              <w:textAlignment w:val="auto"/>
              <w:outlineLvl w:val="1"/>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sz w:val="21"/>
                <w:szCs w:val="21"/>
              </w:rPr>
              <w:t>陈学凯</w:t>
            </w:r>
            <w:r>
              <w:rPr>
                <w:rFonts w:hint="eastAsia" w:ascii="方正仿宋_GBK" w:hAnsi="方正仿宋_GBK" w:eastAsia="方正仿宋_GBK" w:cs="方正仿宋_GBK"/>
                <w:sz w:val="21"/>
                <w:szCs w:val="21"/>
                <w:lang w:eastAsia="zh-CN"/>
              </w:rPr>
              <w:t>、</w:t>
            </w:r>
          </w:p>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center"/>
              <w:textAlignment w:val="auto"/>
              <w:outlineLvl w:val="1"/>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sz w:val="21"/>
                <w:szCs w:val="21"/>
              </w:rPr>
              <w:t>彭文启</w:t>
            </w:r>
            <w:r>
              <w:rPr>
                <w:rFonts w:hint="eastAsia" w:ascii="方正仿宋_GBK" w:hAnsi="方正仿宋_GBK" w:eastAsia="方正仿宋_GBK" w:cs="方正仿宋_GBK"/>
                <w:sz w:val="21"/>
                <w:szCs w:val="21"/>
                <w:lang w:eastAsia="zh-CN"/>
              </w:rPr>
              <w:t>、</w:t>
            </w:r>
          </w:p>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center"/>
              <w:textAlignment w:val="auto"/>
              <w:outlineLvl w:val="1"/>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sz w:val="21"/>
                <w:szCs w:val="21"/>
              </w:rPr>
              <w:t>王若男</w:t>
            </w:r>
            <w:r>
              <w:rPr>
                <w:rFonts w:hint="eastAsia" w:ascii="方正仿宋_GBK" w:hAnsi="方正仿宋_GBK" w:eastAsia="方正仿宋_GBK" w:cs="方正仿宋_GBK"/>
                <w:sz w:val="21"/>
                <w:szCs w:val="21"/>
                <w:lang w:eastAsia="zh-CN"/>
              </w:rPr>
              <w:t>、</w:t>
            </w:r>
          </w:p>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center"/>
              <w:textAlignment w:val="auto"/>
              <w:outlineLvl w:val="1"/>
              <w:rPr>
                <w:rFonts w:hint="eastAsia" w:ascii="方正仿宋_GBK" w:hAnsi="方正仿宋_GBK" w:eastAsia="方正仿宋_GBK" w:cs="方正仿宋_GBK"/>
                <w:sz w:val="21"/>
                <w:szCs w:val="21"/>
                <w:lang w:eastAsia="zh-CN"/>
              </w:rPr>
            </w:pPr>
            <w:r>
              <w:rPr>
                <w:rFonts w:hint="eastAsia" w:ascii="方正仿宋_GBK" w:hAnsi="方正仿宋_GBK" w:eastAsia="方正仿宋_GBK" w:cs="方正仿宋_GBK"/>
                <w:sz w:val="21"/>
                <w:szCs w:val="21"/>
              </w:rPr>
              <w:t>黄爱平</w:t>
            </w:r>
            <w:r>
              <w:rPr>
                <w:rFonts w:hint="eastAsia" w:ascii="方正仿宋_GBK" w:hAnsi="方正仿宋_GBK" w:eastAsia="方正仿宋_GBK" w:cs="方正仿宋_GBK"/>
                <w:sz w:val="21"/>
                <w:szCs w:val="21"/>
                <w:lang w:eastAsia="zh-CN"/>
              </w:rPr>
              <w:t>、</w:t>
            </w:r>
          </w:p>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center"/>
              <w:textAlignment w:val="auto"/>
              <w:outlineLvl w:val="1"/>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董飞</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黄</w:t>
            </w:r>
          </w:p>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center"/>
              <w:textAlignment w:val="auto"/>
              <w:outlineLvl w:val="1"/>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伟</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毛建</w:t>
            </w:r>
          </w:p>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center"/>
              <w:textAlignment w:val="auto"/>
              <w:outlineLvl w:val="1"/>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忠</w:t>
            </w:r>
            <w:r>
              <w:rPr>
                <w:rFonts w:hint="eastAsia" w:ascii="方正仿宋_GBK" w:hAnsi="方正仿宋_GBK" w:eastAsia="方正仿宋_GBK" w:cs="方正仿宋_GBK"/>
                <w:sz w:val="21"/>
                <w:szCs w:val="21"/>
                <w:lang w:eastAsia="zh-CN"/>
              </w:rPr>
              <w:t>、</w:t>
            </w:r>
            <w:r>
              <w:rPr>
                <w:rFonts w:hint="eastAsia" w:ascii="方正仿宋_GBK" w:hAnsi="方正仿宋_GBK" w:eastAsia="方正仿宋_GBK" w:cs="方正仿宋_GBK"/>
                <w:sz w:val="21"/>
                <w:szCs w:val="21"/>
              </w:rPr>
              <w:t>李艳</w:t>
            </w:r>
          </w:p>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center"/>
              <w:textAlignment w:val="auto"/>
              <w:outlineLvl w:val="1"/>
              <w:rPr>
                <w:rFonts w:hint="eastAsia" w:ascii="Times New Roman" w:hAnsi="Times New Roman" w:eastAsia="方正仿宋_GBK" w:cs="Times New Roman"/>
                <w:sz w:val="21"/>
                <w:szCs w:val="21"/>
                <w:lang w:val="en-US" w:eastAsia="zh-CN"/>
              </w:rPr>
            </w:pPr>
            <w:r>
              <w:rPr>
                <w:rFonts w:hint="eastAsia" w:ascii="方正仿宋_GBK" w:hAnsi="方正仿宋_GBK" w:eastAsia="方正仿宋_GBK" w:cs="方正仿宋_GBK"/>
                <w:sz w:val="21"/>
                <w:szCs w:val="21"/>
              </w:rPr>
              <w:t>华</w:t>
            </w:r>
            <w:r>
              <w:rPr>
                <w:rFonts w:hint="eastAsia" w:ascii="方正仿宋_GBK" w:hAnsi="方正仿宋_GBK" w:eastAsia="方正仿宋_GBK" w:cs="方正仿宋_GBK"/>
                <w:sz w:val="21"/>
                <w:szCs w:val="21"/>
                <w:lang w:eastAsia="zh-CN"/>
              </w:rPr>
              <w:t>、孙燕利</w:t>
            </w:r>
          </w:p>
        </w:tc>
        <w:tc>
          <w:tcPr>
            <w:tcW w:w="906" w:type="dxa"/>
            <w:vAlign w:val="center"/>
          </w:tcPr>
          <w:p>
            <w:pPr>
              <w:pStyle w:val="22"/>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方正仿宋_GBK" w:cs="Times New Roman"/>
                <w:sz w:val="21"/>
                <w:szCs w:val="21"/>
                <w:vertAlign w:val="baseline"/>
                <w:lang w:val="en-US" w:eastAsia="zh-CN"/>
              </w:rPr>
            </w:pPr>
            <w:r>
              <w:rPr>
                <w:rFonts w:hint="default" w:ascii="Times New Roman" w:hAnsi="Times New Roman" w:eastAsia="方正仿宋_GBK" w:cs="Times New Roman"/>
                <w:sz w:val="21"/>
                <w:szCs w:val="21"/>
              </w:rPr>
              <w:t>授权</w:t>
            </w:r>
          </w:p>
        </w:tc>
      </w:tr>
    </w:tbl>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00" w:firstLineChars="200"/>
        <w:jc w:val="left"/>
        <w:textAlignment w:val="auto"/>
        <w:outlineLvl w:val="1"/>
        <w:rPr>
          <w:rFonts w:hint="eastAsia" w:ascii="方正楷体_GBK" w:hAnsi="方正楷体_GBK" w:eastAsia="方正楷体_GBK" w:cs="方正楷体_GBK"/>
          <w:b w:val="0"/>
          <w:bCs w:val="0"/>
          <w:sz w:val="30"/>
          <w:szCs w:val="30"/>
          <w:lang w:eastAsia="zh-CN"/>
        </w:rPr>
      </w:pPr>
      <w:r>
        <w:rPr>
          <w:rFonts w:hint="eastAsia" w:ascii="方正楷体_GBK" w:hAnsi="方正楷体_GBK" w:eastAsia="方正楷体_GBK" w:cs="方正楷体_GBK"/>
          <w:b w:val="0"/>
          <w:bCs w:val="0"/>
          <w:sz w:val="30"/>
          <w:szCs w:val="30"/>
          <w:lang w:eastAsia="zh-CN"/>
        </w:rPr>
        <w:t>（二）代表性论文著作</w:t>
      </w:r>
    </w:p>
    <w:tbl>
      <w:tblPr>
        <w:tblStyle w:val="10"/>
        <w:tblW w:w="838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2"/>
        <w:gridCol w:w="2259"/>
        <w:gridCol w:w="1461"/>
        <w:gridCol w:w="1944"/>
        <w:gridCol w:w="1010"/>
        <w:gridCol w:w="127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32" w:type="dxa"/>
            <w:noWrap w:val="0"/>
            <w:vAlign w:val="center"/>
          </w:tcPr>
          <w:p>
            <w:pPr>
              <w:keepNext w:val="0"/>
              <w:keepLines w:val="0"/>
              <w:pageBreakBefore w:val="0"/>
              <w:widowControl w:val="0"/>
              <w:kinsoku/>
              <w:wordWrap/>
              <w:overflowPunct/>
              <w:topLinePunct w:val="0"/>
              <w:autoSpaceDE/>
              <w:autoSpaceDN/>
              <w:bidi w:val="0"/>
              <w:spacing w:after="0" w:line="240" w:lineRule="atLeast"/>
              <w:jc w:val="center"/>
              <w:textAlignment w:val="auto"/>
              <w:rPr>
                <w:rFonts w:hint="default" w:ascii="方正楷体_GBK" w:hAnsi="方正楷体_GBK" w:eastAsia="方正楷体_GBK" w:cs="方正楷体_GBK"/>
                <w:b w:val="0"/>
                <w:bCs w:val="0"/>
                <w:kern w:val="2"/>
                <w:sz w:val="28"/>
                <w:szCs w:val="28"/>
                <w:vertAlign w:val="baseline"/>
                <w:lang w:val="en-US" w:eastAsia="zh-CN" w:bidi="ar-SA"/>
              </w:rPr>
            </w:pPr>
            <w:r>
              <w:rPr>
                <w:rFonts w:hint="default" w:ascii="方正楷体_GBK" w:hAnsi="方正楷体_GBK" w:eastAsia="方正楷体_GBK" w:cs="方正楷体_GBK"/>
                <w:b w:val="0"/>
                <w:bCs w:val="0"/>
                <w:kern w:val="2"/>
                <w:sz w:val="28"/>
                <w:szCs w:val="28"/>
                <w:vertAlign w:val="baseline"/>
                <w:lang w:val="en-US" w:eastAsia="zh-CN" w:bidi="ar-SA"/>
              </w:rPr>
              <w:t>序号</w:t>
            </w:r>
          </w:p>
        </w:tc>
        <w:tc>
          <w:tcPr>
            <w:tcW w:w="2259" w:type="dxa"/>
            <w:noWrap w:val="0"/>
            <w:vAlign w:val="center"/>
          </w:tcPr>
          <w:p>
            <w:pPr>
              <w:keepNext w:val="0"/>
              <w:keepLines w:val="0"/>
              <w:pageBreakBefore w:val="0"/>
              <w:widowControl w:val="0"/>
              <w:kinsoku/>
              <w:wordWrap/>
              <w:overflowPunct/>
              <w:topLinePunct w:val="0"/>
              <w:autoSpaceDE/>
              <w:autoSpaceDN/>
              <w:bidi w:val="0"/>
              <w:spacing w:after="0" w:line="240" w:lineRule="atLeast"/>
              <w:jc w:val="center"/>
              <w:textAlignment w:val="auto"/>
              <w:rPr>
                <w:rFonts w:hint="default" w:ascii="方正楷体_GBK" w:hAnsi="方正楷体_GBK" w:eastAsia="方正楷体_GBK" w:cs="方正楷体_GBK"/>
                <w:b w:val="0"/>
                <w:bCs w:val="0"/>
                <w:kern w:val="2"/>
                <w:sz w:val="28"/>
                <w:szCs w:val="28"/>
                <w:vertAlign w:val="baseline"/>
                <w:lang w:val="en-US" w:eastAsia="zh-CN" w:bidi="ar-SA"/>
              </w:rPr>
            </w:pPr>
            <w:r>
              <w:rPr>
                <w:rFonts w:hint="default" w:ascii="方正楷体_GBK" w:hAnsi="方正楷体_GBK" w:eastAsia="方正楷体_GBK" w:cs="方正楷体_GBK"/>
                <w:b w:val="0"/>
                <w:bCs w:val="0"/>
                <w:kern w:val="2"/>
                <w:sz w:val="28"/>
                <w:szCs w:val="28"/>
                <w:vertAlign w:val="baseline"/>
                <w:lang w:val="en-US" w:eastAsia="zh-CN" w:bidi="ar-SA"/>
              </w:rPr>
              <w:t>论文/专著名称</w:t>
            </w:r>
          </w:p>
        </w:tc>
        <w:tc>
          <w:tcPr>
            <w:tcW w:w="1461" w:type="dxa"/>
            <w:noWrap w:val="0"/>
            <w:vAlign w:val="center"/>
          </w:tcPr>
          <w:p>
            <w:pPr>
              <w:keepNext w:val="0"/>
              <w:keepLines w:val="0"/>
              <w:pageBreakBefore w:val="0"/>
              <w:widowControl w:val="0"/>
              <w:kinsoku/>
              <w:wordWrap/>
              <w:overflowPunct/>
              <w:topLinePunct w:val="0"/>
              <w:autoSpaceDE/>
              <w:autoSpaceDN/>
              <w:bidi w:val="0"/>
              <w:spacing w:after="0" w:line="240" w:lineRule="atLeast"/>
              <w:jc w:val="center"/>
              <w:textAlignment w:val="auto"/>
              <w:rPr>
                <w:rFonts w:hint="eastAsia" w:ascii="方正楷体_GBK" w:hAnsi="方正楷体_GBK" w:eastAsia="方正楷体_GBK" w:cs="方正楷体_GBK"/>
                <w:b w:val="0"/>
                <w:bCs w:val="0"/>
                <w:kern w:val="2"/>
                <w:sz w:val="28"/>
                <w:szCs w:val="28"/>
                <w:vertAlign w:val="baseline"/>
                <w:lang w:val="en-US" w:eastAsia="zh-CN" w:bidi="ar-SA"/>
              </w:rPr>
            </w:pPr>
            <w:r>
              <w:rPr>
                <w:rFonts w:hint="default" w:ascii="方正楷体_GBK" w:hAnsi="方正楷体_GBK" w:eastAsia="方正楷体_GBK" w:cs="方正楷体_GBK"/>
                <w:b w:val="0"/>
                <w:bCs w:val="0"/>
                <w:kern w:val="2"/>
                <w:sz w:val="28"/>
                <w:szCs w:val="28"/>
                <w:vertAlign w:val="baseline"/>
                <w:lang w:val="en-US" w:eastAsia="zh-CN" w:bidi="ar-SA"/>
              </w:rPr>
              <w:t>刊名/</w:t>
            </w:r>
            <w:r>
              <w:rPr>
                <w:rFonts w:hint="eastAsia" w:ascii="方正楷体_GBK" w:hAnsi="方正楷体_GBK" w:eastAsia="方正楷体_GBK" w:cs="方正楷体_GBK"/>
                <w:b w:val="0"/>
                <w:bCs w:val="0"/>
                <w:kern w:val="2"/>
                <w:sz w:val="28"/>
                <w:szCs w:val="28"/>
                <w:vertAlign w:val="baseline"/>
                <w:lang w:val="en-US" w:eastAsia="zh-CN" w:bidi="ar-SA"/>
              </w:rPr>
              <w:t>出版社</w:t>
            </w:r>
          </w:p>
        </w:tc>
        <w:tc>
          <w:tcPr>
            <w:tcW w:w="1944" w:type="dxa"/>
            <w:noWrap w:val="0"/>
            <w:vAlign w:val="center"/>
          </w:tcPr>
          <w:p>
            <w:pPr>
              <w:keepNext w:val="0"/>
              <w:keepLines w:val="0"/>
              <w:pageBreakBefore w:val="0"/>
              <w:widowControl w:val="0"/>
              <w:kinsoku/>
              <w:wordWrap/>
              <w:overflowPunct/>
              <w:topLinePunct w:val="0"/>
              <w:autoSpaceDE/>
              <w:autoSpaceDN/>
              <w:bidi w:val="0"/>
              <w:spacing w:after="0" w:line="240" w:lineRule="atLeast"/>
              <w:jc w:val="center"/>
              <w:textAlignment w:val="auto"/>
              <w:rPr>
                <w:rFonts w:hint="default" w:ascii="方正楷体_GBK" w:hAnsi="方正楷体_GBK" w:eastAsia="方正楷体_GBK" w:cs="方正楷体_GBK"/>
                <w:b w:val="0"/>
                <w:bCs w:val="0"/>
                <w:kern w:val="2"/>
                <w:sz w:val="28"/>
                <w:szCs w:val="28"/>
                <w:vertAlign w:val="baseline"/>
                <w:lang w:val="en-US" w:eastAsia="zh-CN" w:bidi="ar-SA"/>
              </w:rPr>
            </w:pPr>
            <w:r>
              <w:rPr>
                <w:rFonts w:hint="default" w:ascii="方正楷体_GBK" w:hAnsi="方正楷体_GBK" w:eastAsia="方正楷体_GBK" w:cs="方正楷体_GBK"/>
                <w:b w:val="0"/>
                <w:bCs w:val="0"/>
                <w:kern w:val="2"/>
                <w:sz w:val="28"/>
                <w:szCs w:val="28"/>
                <w:vertAlign w:val="baseline"/>
                <w:lang w:val="en-US" w:eastAsia="zh-CN" w:bidi="ar-SA"/>
              </w:rPr>
              <w:t>作者</w:t>
            </w:r>
          </w:p>
        </w:tc>
        <w:tc>
          <w:tcPr>
            <w:tcW w:w="1010" w:type="dxa"/>
            <w:noWrap w:val="0"/>
            <w:vAlign w:val="center"/>
          </w:tcPr>
          <w:p>
            <w:pPr>
              <w:keepNext w:val="0"/>
              <w:keepLines w:val="0"/>
              <w:pageBreakBefore w:val="0"/>
              <w:widowControl w:val="0"/>
              <w:kinsoku/>
              <w:wordWrap/>
              <w:overflowPunct/>
              <w:topLinePunct w:val="0"/>
              <w:autoSpaceDE/>
              <w:autoSpaceDN/>
              <w:bidi w:val="0"/>
              <w:spacing w:after="0" w:line="240" w:lineRule="atLeast"/>
              <w:jc w:val="center"/>
              <w:textAlignment w:val="auto"/>
              <w:rPr>
                <w:rFonts w:hint="default" w:ascii="方正楷体_GBK" w:hAnsi="方正楷体_GBK" w:eastAsia="方正楷体_GBK" w:cs="方正楷体_GBK"/>
                <w:b w:val="0"/>
                <w:bCs w:val="0"/>
                <w:kern w:val="2"/>
                <w:sz w:val="28"/>
                <w:szCs w:val="28"/>
                <w:vertAlign w:val="baseline"/>
                <w:lang w:val="en-US" w:eastAsia="zh-CN" w:bidi="ar-SA"/>
              </w:rPr>
            </w:pPr>
            <w:r>
              <w:rPr>
                <w:rFonts w:hint="default" w:ascii="方正楷体_GBK" w:hAnsi="方正楷体_GBK" w:eastAsia="方正楷体_GBK" w:cs="方正楷体_GBK"/>
                <w:b w:val="0"/>
                <w:bCs w:val="0"/>
                <w:kern w:val="2"/>
                <w:sz w:val="28"/>
                <w:szCs w:val="28"/>
                <w:vertAlign w:val="baseline"/>
                <w:lang w:val="en-US" w:eastAsia="zh-CN" w:bidi="ar-SA"/>
              </w:rPr>
              <w:t>年卷</w:t>
            </w:r>
          </w:p>
        </w:tc>
        <w:tc>
          <w:tcPr>
            <w:tcW w:w="1276" w:type="dxa"/>
            <w:noWrap w:val="0"/>
            <w:vAlign w:val="center"/>
          </w:tcPr>
          <w:p>
            <w:pPr>
              <w:keepNext w:val="0"/>
              <w:keepLines w:val="0"/>
              <w:pageBreakBefore w:val="0"/>
              <w:widowControl w:val="0"/>
              <w:kinsoku/>
              <w:wordWrap/>
              <w:overflowPunct/>
              <w:topLinePunct w:val="0"/>
              <w:autoSpaceDE/>
              <w:autoSpaceDN/>
              <w:bidi w:val="0"/>
              <w:spacing w:after="0" w:line="240" w:lineRule="atLeast"/>
              <w:jc w:val="center"/>
              <w:textAlignment w:val="auto"/>
              <w:rPr>
                <w:rFonts w:hint="default" w:ascii="方正楷体_GBK" w:hAnsi="方正楷体_GBK" w:eastAsia="方正楷体_GBK" w:cs="方正楷体_GBK"/>
                <w:b w:val="0"/>
                <w:bCs w:val="0"/>
                <w:kern w:val="2"/>
                <w:sz w:val="28"/>
                <w:szCs w:val="28"/>
                <w:vertAlign w:val="baseline"/>
                <w:lang w:val="en-US" w:eastAsia="zh-CN" w:bidi="ar-SA"/>
              </w:rPr>
            </w:pPr>
            <w:r>
              <w:rPr>
                <w:rFonts w:hint="default" w:ascii="方正楷体_GBK" w:hAnsi="方正楷体_GBK" w:eastAsia="方正楷体_GBK" w:cs="方正楷体_GBK"/>
                <w:b w:val="0"/>
                <w:bCs w:val="0"/>
                <w:kern w:val="2"/>
                <w:sz w:val="28"/>
                <w:szCs w:val="28"/>
                <w:vertAlign w:val="baseline"/>
                <w:lang w:val="en-US" w:eastAsia="zh-CN" w:bidi="ar-SA"/>
              </w:rPr>
              <w:t>页码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432"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1</w:t>
            </w:r>
          </w:p>
        </w:tc>
        <w:tc>
          <w:tcPr>
            <w:tcW w:w="2259"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color w:val="000000"/>
                <w:kern w:val="0"/>
                <w:sz w:val="21"/>
                <w:szCs w:val="21"/>
                <w:lang w:val="en-US" w:eastAsia="zh-CN" w:bidi="ar"/>
              </w:rPr>
              <w:t>高原湖泊水生态健康评估— —以抚仙湖为例</w:t>
            </w:r>
          </w:p>
        </w:tc>
        <w:tc>
          <w:tcPr>
            <w:tcW w:w="1461"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中国水利水电出版社</w:t>
            </w:r>
          </w:p>
        </w:tc>
        <w:tc>
          <w:tcPr>
            <w:tcW w:w="1944"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李艳华、毛建忠、此里能布</w:t>
            </w:r>
          </w:p>
        </w:tc>
        <w:tc>
          <w:tcPr>
            <w:tcW w:w="1010"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2017年12月</w:t>
            </w:r>
          </w:p>
        </w:tc>
        <w:tc>
          <w:tcPr>
            <w:tcW w:w="1276"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b w:val="0"/>
                <w:bCs w:val="0"/>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7" w:hRule="exact"/>
          <w:jc w:val="center"/>
        </w:trPr>
        <w:tc>
          <w:tcPr>
            <w:tcW w:w="432"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lang w:val="en-US" w:eastAsia="zh-CN"/>
              </w:rPr>
            </w:pPr>
            <w:r>
              <w:rPr>
                <w:rFonts w:hint="eastAsia" w:ascii="宋体" w:hAnsi="宋体" w:eastAsia="方正仿宋_GBK" w:cs="方正仿宋_GBK"/>
                <w:b w:val="0"/>
                <w:bCs w:val="0"/>
                <w:color w:val="auto"/>
                <w:sz w:val="21"/>
                <w:szCs w:val="21"/>
                <w:highlight w:val="none"/>
                <w:lang w:val="en-US" w:eastAsia="zh-CN"/>
              </w:rPr>
              <w:t>2</w:t>
            </w:r>
          </w:p>
        </w:tc>
        <w:tc>
          <w:tcPr>
            <w:tcW w:w="2259"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内陆湖泊水环境演变与调控研究——以程海为例</w:t>
            </w:r>
          </w:p>
        </w:tc>
        <w:tc>
          <w:tcPr>
            <w:tcW w:w="1461"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中国水利水电出版社</w:t>
            </w:r>
          </w:p>
        </w:tc>
        <w:tc>
          <w:tcPr>
            <w:tcW w:w="1944"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刘晓波、李伯根、彭文启、陈学凯、董飞、黄爱平</w:t>
            </w:r>
          </w:p>
        </w:tc>
        <w:tc>
          <w:tcPr>
            <w:tcW w:w="1010"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2021年10月</w:t>
            </w:r>
          </w:p>
        </w:tc>
        <w:tc>
          <w:tcPr>
            <w:tcW w:w="1276"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83" w:hRule="exact"/>
          <w:jc w:val="center"/>
        </w:trPr>
        <w:tc>
          <w:tcPr>
            <w:tcW w:w="432"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lang w:val="en-US" w:eastAsia="zh-CN"/>
              </w:rPr>
            </w:pPr>
            <w:r>
              <w:rPr>
                <w:rFonts w:hint="eastAsia" w:ascii="宋体" w:hAnsi="宋体" w:eastAsia="方正仿宋_GBK" w:cs="方正仿宋_GBK"/>
                <w:b w:val="0"/>
                <w:bCs w:val="0"/>
                <w:color w:val="auto"/>
                <w:sz w:val="21"/>
                <w:szCs w:val="21"/>
                <w:highlight w:val="none"/>
                <w:lang w:val="en-US" w:eastAsia="zh-CN"/>
              </w:rPr>
              <w:t>3</w:t>
            </w:r>
          </w:p>
        </w:tc>
        <w:tc>
          <w:tcPr>
            <w:tcW w:w="2259"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程海流域非点源污染负荷估算及其控制对策</w:t>
            </w:r>
          </w:p>
        </w:tc>
        <w:tc>
          <w:tcPr>
            <w:tcW w:w="1461"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环境科学</w:t>
            </w:r>
          </w:p>
        </w:tc>
        <w:tc>
          <w:tcPr>
            <w:tcW w:w="1944"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陈学凯、刘晓波、彭文启、董飞、黄智华、冯顺新、王若男</w:t>
            </w:r>
          </w:p>
        </w:tc>
        <w:tc>
          <w:tcPr>
            <w:tcW w:w="1010"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2018年39卷第1期</w:t>
            </w:r>
          </w:p>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lang w:val="en-US" w:eastAsia="zh-CN"/>
              </w:rPr>
            </w:pPr>
          </w:p>
        </w:tc>
        <w:tc>
          <w:tcPr>
            <w:tcW w:w="1276"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b w:val="0"/>
                <w:bCs w:val="0"/>
                <w:color w:val="auto"/>
                <w:sz w:val="21"/>
                <w:szCs w:val="21"/>
                <w:highlight w:val="none"/>
                <w:lang w:val="en-US" w:eastAsia="zh-CN"/>
              </w:rPr>
              <w:t>77-88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3" w:hRule="exact"/>
          <w:jc w:val="center"/>
        </w:trPr>
        <w:tc>
          <w:tcPr>
            <w:tcW w:w="432"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lang w:val="en-US" w:eastAsia="zh-CN"/>
              </w:rPr>
            </w:pPr>
            <w:r>
              <w:rPr>
                <w:rFonts w:hint="eastAsia" w:ascii="宋体" w:hAnsi="宋体" w:eastAsia="方正仿宋_GBK" w:cs="方正仿宋_GBK"/>
                <w:b w:val="0"/>
                <w:bCs w:val="0"/>
                <w:color w:val="auto"/>
                <w:sz w:val="21"/>
                <w:szCs w:val="21"/>
                <w:highlight w:val="none"/>
                <w:lang w:val="en-US" w:eastAsia="zh-CN"/>
              </w:rPr>
              <w:t>4</w:t>
            </w:r>
          </w:p>
        </w:tc>
        <w:tc>
          <w:tcPr>
            <w:tcW w:w="2259"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底栖生物完整性指数在清水河流域健康评价中的应用</w:t>
            </w:r>
          </w:p>
        </w:tc>
        <w:tc>
          <w:tcPr>
            <w:tcW w:w="1461"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中国水运</w:t>
            </w:r>
            <w:r>
              <w:rPr>
                <w:rFonts w:hint="eastAsia" w:ascii="宋体" w:hAnsi="宋体" w:eastAsia="方正仿宋_GBK" w:cs="方正仿宋_GBK"/>
                <w:b w:val="0"/>
                <w:bCs w:val="0"/>
                <w:color w:val="auto"/>
                <w:sz w:val="21"/>
                <w:szCs w:val="21"/>
                <w:highlight w:val="none"/>
                <w:lang w:eastAsia="zh-CN"/>
              </w:rPr>
              <w:t>（</w:t>
            </w:r>
            <w:r>
              <w:rPr>
                <w:rFonts w:hint="eastAsia" w:ascii="宋体" w:hAnsi="宋体" w:eastAsia="方正仿宋_GBK" w:cs="方正仿宋_GBK"/>
                <w:b w:val="0"/>
                <w:bCs w:val="0"/>
                <w:color w:val="auto"/>
                <w:sz w:val="21"/>
                <w:szCs w:val="21"/>
                <w:highlight w:val="none"/>
              </w:rPr>
              <w:t>下半月</w:t>
            </w:r>
            <w:r>
              <w:rPr>
                <w:rFonts w:hint="eastAsia" w:ascii="宋体" w:hAnsi="宋体" w:eastAsia="方正仿宋_GBK" w:cs="方正仿宋_GBK"/>
                <w:b w:val="0"/>
                <w:bCs w:val="0"/>
                <w:color w:val="auto"/>
                <w:sz w:val="21"/>
                <w:szCs w:val="21"/>
                <w:highlight w:val="none"/>
                <w:lang w:eastAsia="zh-CN"/>
              </w:rPr>
              <w:t>）</w:t>
            </w:r>
          </w:p>
        </w:tc>
        <w:tc>
          <w:tcPr>
            <w:tcW w:w="1944" w:type="dxa"/>
            <w:noWrap w:val="0"/>
            <w:vAlign w:val="center"/>
          </w:tcPr>
          <w:p>
            <w:pPr>
              <w:keepNext w:val="0"/>
              <w:keepLines w:val="0"/>
              <w:pageBreakBefore w:val="0"/>
              <w:kinsoku/>
              <w:wordWrap/>
              <w:overflowPunct/>
              <w:topLinePunct w:val="0"/>
              <w:autoSpaceDE/>
              <w:autoSpaceDN/>
              <w:bidi w:val="0"/>
              <w:snapToGrid w:val="0"/>
              <w:spacing w:beforeLines="0" w:afterLines="0"/>
              <w:jc w:val="left"/>
              <w:textAlignment w:val="auto"/>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sz w:val="21"/>
                <w:szCs w:val="21"/>
              </w:rPr>
              <w:t>王振钟</w:t>
            </w:r>
            <w:r>
              <w:rPr>
                <w:rFonts w:hint="eastAsia" w:ascii="宋体" w:hAnsi="宋体" w:eastAsia="方正仿宋_GBK" w:cs="方正仿宋_GBK"/>
                <w:sz w:val="21"/>
                <w:szCs w:val="21"/>
                <w:lang w:eastAsia="zh-CN"/>
              </w:rPr>
              <w:t>、</w:t>
            </w:r>
            <w:r>
              <w:rPr>
                <w:rFonts w:hint="eastAsia" w:ascii="宋体" w:hAnsi="宋体" w:eastAsia="方正仿宋_GBK" w:cs="方正仿宋_GBK"/>
                <w:sz w:val="21"/>
                <w:szCs w:val="21"/>
              </w:rPr>
              <w:t>李艳华</w:t>
            </w:r>
            <w:r>
              <w:rPr>
                <w:rFonts w:hint="eastAsia" w:ascii="宋体" w:hAnsi="宋体" w:eastAsia="方正仿宋_GBK" w:cs="方正仿宋_GBK"/>
                <w:sz w:val="21"/>
                <w:szCs w:val="21"/>
                <w:lang w:eastAsia="zh-CN"/>
              </w:rPr>
              <w:t>、</w:t>
            </w:r>
            <w:r>
              <w:rPr>
                <w:rFonts w:hint="eastAsia" w:ascii="宋体" w:hAnsi="宋体" w:eastAsia="方正仿宋_GBK" w:cs="方正仿宋_GBK"/>
                <w:sz w:val="21"/>
                <w:szCs w:val="21"/>
              </w:rPr>
              <w:t>庞家平</w:t>
            </w:r>
            <w:r>
              <w:rPr>
                <w:rFonts w:hint="eastAsia" w:ascii="宋体" w:hAnsi="宋体" w:eastAsia="方正仿宋_GBK" w:cs="方正仿宋_GBK"/>
                <w:sz w:val="21"/>
                <w:szCs w:val="21"/>
                <w:lang w:eastAsia="zh-CN"/>
              </w:rPr>
              <w:t>、</w:t>
            </w:r>
            <w:r>
              <w:rPr>
                <w:rFonts w:hint="eastAsia" w:ascii="宋体" w:hAnsi="宋体" w:eastAsia="方正仿宋_GBK" w:cs="方正仿宋_GBK"/>
                <w:sz w:val="21"/>
                <w:szCs w:val="21"/>
              </w:rPr>
              <w:t>陆强</w:t>
            </w:r>
            <w:r>
              <w:rPr>
                <w:rFonts w:hint="eastAsia" w:ascii="宋体" w:hAnsi="宋体" w:eastAsia="方正仿宋_GBK" w:cs="方正仿宋_GBK"/>
                <w:sz w:val="21"/>
                <w:szCs w:val="21"/>
                <w:lang w:eastAsia="zh-CN"/>
              </w:rPr>
              <w:t>、</w:t>
            </w:r>
            <w:r>
              <w:rPr>
                <w:rFonts w:hint="eastAsia" w:ascii="宋体" w:hAnsi="宋体" w:eastAsia="方正仿宋_GBK" w:cs="方正仿宋_GBK"/>
                <w:sz w:val="21"/>
                <w:szCs w:val="21"/>
              </w:rPr>
              <w:t>赵华刚</w:t>
            </w:r>
          </w:p>
        </w:tc>
        <w:tc>
          <w:tcPr>
            <w:tcW w:w="1010" w:type="dxa"/>
            <w:noWrap w:val="0"/>
            <w:vAlign w:val="center"/>
          </w:tcPr>
          <w:p>
            <w:pPr>
              <w:keepNext w:val="0"/>
              <w:keepLines w:val="0"/>
              <w:pageBreakBefore w:val="0"/>
              <w:kinsoku/>
              <w:wordWrap/>
              <w:overflowPunct/>
              <w:topLinePunct w:val="0"/>
              <w:autoSpaceDE/>
              <w:autoSpaceDN/>
              <w:bidi w:val="0"/>
              <w:snapToGrid w:val="0"/>
              <w:spacing w:beforeLines="0" w:afterLines="0"/>
              <w:jc w:val="left"/>
              <w:textAlignment w:val="auto"/>
              <w:rPr>
                <w:rFonts w:hint="eastAsia" w:ascii="宋体" w:hAnsi="宋体" w:eastAsia="方正仿宋_GBK" w:cs="方正仿宋_GBK"/>
                <w:sz w:val="21"/>
                <w:szCs w:val="21"/>
              </w:rPr>
            </w:pPr>
            <w:r>
              <w:rPr>
                <w:rFonts w:hint="eastAsia" w:ascii="宋体" w:hAnsi="宋体" w:eastAsia="方正仿宋_GBK" w:cs="方正仿宋_GBK"/>
                <w:sz w:val="21"/>
                <w:szCs w:val="21"/>
              </w:rPr>
              <w:t>2013年</w:t>
            </w:r>
          </w:p>
          <w:p>
            <w:pPr>
              <w:keepNext w:val="0"/>
              <w:keepLines w:val="0"/>
              <w:pageBreakBefore w:val="0"/>
              <w:kinsoku/>
              <w:wordWrap/>
              <w:overflowPunct/>
              <w:topLinePunct w:val="0"/>
              <w:autoSpaceDE/>
              <w:autoSpaceDN/>
              <w:bidi w:val="0"/>
              <w:snapToGrid w:val="0"/>
              <w:spacing w:beforeLines="0" w:afterLines="0"/>
              <w:jc w:val="left"/>
              <w:textAlignment w:val="auto"/>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sz w:val="21"/>
                <w:szCs w:val="21"/>
              </w:rPr>
              <w:t>第13卷</w:t>
            </w:r>
          </w:p>
        </w:tc>
        <w:tc>
          <w:tcPr>
            <w:tcW w:w="1276" w:type="dxa"/>
            <w:noWrap w:val="0"/>
            <w:vAlign w:val="center"/>
          </w:tcPr>
          <w:p>
            <w:pPr>
              <w:keepNext w:val="0"/>
              <w:keepLines w:val="0"/>
              <w:pageBreakBefore w:val="0"/>
              <w:kinsoku/>
              <w:wordWrap/>
              <w:overflowPunct/>
              <w:topLinePunct w:val="0"/>
              <w:autoSpaceDE/>
              <w:autoSpaceDN/>
              <w:bidi w:val="0"/>
              <w:snapToGrid w:val="0"/>
              <w:spacing w:beforeLines="0" w:afterLines="0"/>
              <w:jc w:val="left"/>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sz w:val="21"/>
                <w:szCs w:val="21"/>
                <w:lang w:val="en-US" w:eastAsia="zh-CN"/>
              </w:rPr>
              <w:t>131-</w:t>
            </w:r>
            <w:r>
              <w:rPr>
                <w:rFonts w:hint="eastAsia" w:ascii="宋体" w:hAnsi="宋体" w:eastAsia="方正仿宋_GBK" w:cs="方正仿宋_GBK"/>
                <w:sz w:val="21"/>
                <w:szCs w:val="21"/>
              </w:rPr>
              <w:t>1</w:t>
            </w:r>
            <w:r>
              <w:rPr>
                <w:rFonts w:hint="eastAsia" w:ascii="宋体" w:hAnsi="宋体" w:eastAsia="方正仿宋_GBK" w:cs="方正仿宋_GBK"/>
                <w:sz w:val="21"/>
                <w:szCs w:val="21"/>
                <w:lang w:val="en-US" w:eastAsia="zh-CN"/>
              </w:rPr>
              <w:t>33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7" w:hRule="exact"/>
          <w:jc w:val="center"/>
        </w:trPr>
        <w:tc>
          <w:tcPr>
            <w:tcW w:w="432"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lang w:val="en-US" w:eastAsia="zh-CN"/>
              </w:rPr>
            </w:pPr>
            <w:r>
              <w:rPr>
                <w:rFonts w:hint="eastAsia" w:ascii="宋体" w:hAnsi="宋体" w:eastAsia="方正仿宋_GBK" w:cs="方正仿宋_GBK"/>
                <w:b w:val="0"/>
                <w:bCs w:val="0"/>
                <w:color w:val="auto"/>
                <w:sz w:val="21"/>
                <w:szCs w:val="21"/>
                <w:highlight w:val="none"/>
                <w:lang w:val="en-US" w:eastAsia="zh-CN"/>
              </w:rPr>
              <w:t>5</w:t>
            </w:r>
          </w:p>
        </w:tc>
        <w:tc>
          <w:tcPr>
            <w:tcW w:w="2259"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抚仙湖后生浮游动物种类组成及水质评价</w:t>
            </w:r>
          </w:p>
        </w:tc>
        <w:tc>
          <w:tcPr>
            <w:tcW w:w="1461"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环境科学</w:t>
            </w:r>
          </w:p>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导刊</w:t>
            </w:r>
          </w:p>
        </w:tc>
        <w:tc>
          <w:tcPr>
            <w:tcW w:w="1944"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杜程鹏、李艳华、赵萍萍、赵华刚</w:t>
            </w:r>
          </w:p>
        </w:tc>
        <w:tc>
          <w:tcPr>
            <w:tcW w:w="1010"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2013年</w:t>
            </w:r>
          </w:p>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第32卷</w:t>
            </w:r>
          </w:p>
        </w:tc>
        <w:tc>
          <w:tcPr>
            <w:tcW w:w="1276" w:type="dxa"/>
            <w:noWrap w:val="0"/>
            <w:vAlign w:val="center"/>
          </w:tcPr>
          <w:p>
            <w:pPr>
              <w:keepNext w:val="0"/>
              <w:keepLines w:val="0"/>
              <w:pageBreakBefore w:val="0"/>
              <w:kinsoku/>
              <w:wordWrap/>
              <w:overflowPunct/>
              <w:topLinePunct w:val="0"/>
              <w:autoSpaceDE/>
              <w:autoSpaceDN/>
              <w:bidi w:val="0"/>
              <w:snapToGrid w:val="0"/>
              <w:spacing w:beforeLines="0" w:afterLines="0"/>
              <w:jc w:val="left"/>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46-50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9" w:hRule="exact"/>
          <w:jc w:val="center"/>
        </w:trPr>
        <w:tc>
          <w:tcPr>
            <w:tcW w:w="432"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lang w:val="en-US" w:eastAsia="zh-CN"/>
              </w:rPr>
            </w:pPr>
            <w:r>
              <w:rPr>
                <w:rFonts w:hint="eastAsia" w:ascii="宋体" w:hAnsi="宋体" w:eastAsia="方正仿宋_GBK" w:cs="方正仿宋_GBK"/>
                <w:b w:val="0"/>
                <w:bCs w:val="0"/>
                <w:color w:val="auto"/>
                <w:sz w:val="21"/>
                <w:szCs w:val="21"/>
                <w:highlight w:val="none"/>
                <w:lang w:val="en-US" w:eastAsia="zh-CN"/>
              </w:rPr>
              <w:t>6</w:t>
            </w:r>
          </w:p>
        </w:tc>
        <w:tc>
          <w:tcPr>
            <w:tcW w:w="2259"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程海水位变化特征与水量平衡研究</w:t>
            </w:r>
          </w:p>
        </w:tc>
        <w:tc>
          <w:tcPr>
            <w:tcW w:w="1461"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水电能源科学</w:t>
            </w:r>
          </w:p>
        </w:tc>
        <w:tc>
          <w:tcPr>
            <w:tcW w:w="1944"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陈学凯、刘晓波、张云英、赵恩灵、王若男、冯顺新、董飞</w:t>
            </w:r>
          </w:p>
        </w:tc>
        <w:tc>
          <w:tcPr>
            <w:tcW w:w="1010"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lang w:val="en-US" w:eastAsia="zh-CN"/>
              </w:rPr>
            </w:pPr>
            <w:r>
              <w:rPr>
                <w:rFonts w:hint="eastAsia" w:ascii="宋体" w:hAnsi="宋体" w:eastAsia="方正仿宋_GBK" w:cs="方正仿宋_GBK"/>
                <w:b w:val="0"/>
                <w:bCs w:val="0"/>
                <w:color w:val="auto"/>
                <w:sz w:val="21"/>
                <w:szCs w:val="21"/>
                <w:highlight w:val="none"/>
              </w:rPr>
              <w:t>2018年36卷第7</w:t>
            </w:r>
            <w:r>
              <w:rPr>
                <w:rFonts w:hint="eastAsia" w:ascii="宋体" w:hAnsi="宋体" w:eastAsia="方正仿宋_GBK" w:cs="方正仿宋_GBK"/>
                <w:b w:val="0"/>
                <w:bCs w:val="0"/>
                <w:color w:val="auto"/>
                <w:sz w:val="21"/>
                <w:szCs w:val="21"/>
                <w:highlight w:val="none"/>
                <w:lang w:val="en-US" w:eastAsia="zh-CN"/>
              </w:rPr>
              <w:t>期</w:t>
            </w:r>
          </w:p>
        </w:tc>
        <w:tc>
          <w:tcPr>
            <w:tcW w:w="1276"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b w:val="0"/>
                <w:bCs w:val="0"/>
                <w:color w:val="auto"/>
                <w:sz w:val="21"/>
                <w:szCs w:val="21"/>
                <w:highlight w:val="none"/>
                <w:lang w:val="en-US" w:eastAsia="zh-CN"/>
              </w:rPr>
              <w:t>28-32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3" w:hRule="exact"/>
          <w:jc w:val="center"/>
        </w:trPr>
        <w:tc>
          <w:tcPr>
            <w:tcW w:w="432"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lang w:val="en-US" w:eastAsia="zh-CN"/>
              </w:rPr>
            </w:pPr>
            <w:r>
              <w:rPr>
                <w:rFonts w:hint="eastAsia" w:ascii="宋体" w:hAnsi="宋体" w:eastAsia="方正仿宋_GBK" w:cs="方正仿宋_GBK"/>
                <w:b w:val="0"/>
                <w:bCs w:val="0"/>
                <w:color w:val="auto"/>
                <w:sz w:val="21"/>
                <w:szCs w:val="21"/>
                <w:highlight w:val="none"/>
                <w:lang w:val="en-US" w:eastAsia="zh-CN"/>
              </w:rPr>
              <w:t>7</w:t>
            </w:r>
          </w:p>
        </w:tc>
        <w:tc>
          <w:tcPr>
            <w:tcW w:w="2259"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抚仙湖健康评价研究</w:t>
            </w:r>
          </w:p>
        </w:tc>
        <w:tc>
          <w:tcPr>
            <w:tcW w:w="1461" w:type="dxa"/>
            <w:noWrap w:val="0"/>
            <w:vAlign w:val="center"/>
          </w:tcPr>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sz w:val="21"/>
                <w:szCs w:val="21"/>
              </w:rPr>
              <w:t>中国水运</w:t>
            </w:r>
            <w:r>
              <w:rPr>
                <w:rFonts w:hint="eastAsia" w:ascii="宋体" w:hAnsi="宋体" w:eastAsia="方正仿宋_GBK" w:cs="方正仿宋_GBK"/>
                <w:sz w:val="21"/>
                <w:szCs w:val="21"/>
                <w:lang w:eastAsia="zh-CN"/>
              </w:rPr>
              <w:t>（</w:t>
            </w:r>
            <w:r>
              <w:rPr>
                <w:rFonts w:hint="eastAsia" w:ascii="宋体" w:hAnsi="宋体" w:eastAsia="方正仿宋_GBK" w:cs="方正仿宋_GBK"/>
                <w:sz w:val="21"/>
                <w:szCs w:val="21"/>
              </w:rPr>
              <w:t>下半月</w:t>
            </w:r>
            <w:r>
              <w:rPr>
                <w:rFonts w:hint="eastAsia" w:ascii="宋体" w:hAnsi="宋体" w:eastAsia="方正仿宋_GBK" w:cs="方正仿宋_GBK"/>
                <w:sz w:val="21"/>
                <w:szCs w:val="21"/>
                <w:lang w:eastAsia="zh-CN"/>
              </w:rPr>
              <w:t>）</w:t>
            </w:r>
          </w:p>
        </w:tc>
        <w:tc>
          <w:tcPr>
            <w:tcW w:w="1944"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冯梅、赵华刚、王丽丽、田伟、毛建忠</w:t>
            </w:r>
          </w:p>
        </w:tc>
        <w:tc>
          <w:tcPr>
            <w:tcW w:w="1010"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lang w:val="en-US" w:eastAsia="zh-CN"/>
              </w:rPr>
            </w:pPr>
            <w:r>
              <w:rPr>
                <w:rFonts w:hint="eastAsia" w:ascii="宋体" w:hAnsi="宋体" w:eastAsia="方正仿宋_GBK" w:cs="方正仿宋_GBK"/>
                <w:b w:val="0"/>
                <w:bCs w:val="0"/>
                <w:color w:val="auto"/>
                <w:sz w:val="21"/>
                <w:szCs w:val="21"/>
                <w:highlight w:val="none"/>
              </w:rPr>
              <w:t>2013年13卷第5期</w:t>
            </w:r>
          </w:p>
        </w:tc>
        <w:tc>
          <w:tcPr>
            <w:tcW w:w="1276" w:type="dxa"/>
            <w:noWrap w:val="0"/>
            <w:vAlign w:val="center"/>
          </w:tcPr>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lang w:val="en-US" w:eastAsia="zh-CN"/>
              </w:rPr>
            </w:pPr>
            <w:r>
              <w:rPr>
                <w:rFonts w:hint="eastAsia" w:ascii="宋体" w:hAnsi="宋体" w:eastAsia="方正仿宋_GBK" w:cs="方正仿宋_GBK"/>
                <w:b w:val="0"/>
                <w:bCs w:val="0"/>
                <w:color w:val="auto"/>
                <w:sz w:val="21"/>
                <w:szCs w:val="21"/>
                <w:highlight w:val="none"/>
                <w:lang w:val="en-US" w:eastAsia="zh-CN"/>
              </w:rPr>
              <w:t>95-97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5" w:hRule="exact"/>
          <w:jc w:val="center"/>
        </w:trPr>
        <w:tc>
          <w:tcPr>
            <w:tcW w:w="432"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lang w:val="en-US" w:eastAsia="zh-CN"/>
              </w:rPr>
            </w:pPr>
            <w:r>
              <w:rPr>
                <w:rFonts w:hint="eastAsia" w:ascii="宋体" w:hAnsi="宋体" w:eastAsia="方正仿宋_GBK" w:cs="方正仿宋_GBK"/>
                <w:b w:val="0"/>
                <w:bCs w:val="0"/>
                <w:color w:val="auto"/>
                <w:sz w:val="21"/>
                <w:szCs w:val="21"/>
                <w:highlight w:val="none"/>
                <w:lang w:val="en-US" w:eastAsia="zh-CN"/>
              </w:rPr>
              <w:t>8</w:t>
            </w:r>
          </w:p>
        </w:tc>
        <w:tc>
          <w:tcPr>
            <w:tcW w:w="2259"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清水河生态系统健康评价研究</w:t>
            </w:r>
          </w:p>
        </w:tc>
        <w:tc>
          <w:tcPr>
            <w:tcW w:w="1461" w:type="dxa"/>
            <w:noWrap w:val="0"/>
            <w:vAlign w:val="center"/>
          </w:tcPr>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sz w:val="21"/>
                <w:szCs w:val="21"/>
              </w:rPr>
              <w:t>中国水运</w:t>
            </w:r>
            <w:r>
              <w:rPr>
                <w:rFonts w:hint="eastAsia" w:ascii="宋体" w:hAnsi="宋体" w:eastAsia="方正仿宋_GBK" w:cs="方正仿宋_GBK"/>
                <w:sz w:val="21"/>
                <w:szCs w:val="21"/>
                <w:lang w:eastAsia="zh-CN"/>
              </w:rPr>
              <w:t>（</w:t>
            </w:r>
            <w:r>
              <w:rPr>
                <w:rFonts w:hint="eastAsia" w:ascii="宋体" w:hAnsi="宋体" w:eastAsia="方正仿宋_GBK" w:cs="方正仿宋_GBK"/>
                <w:sz w:val="21"/>
                <w:szCs w:val="21"/>
              </w:rPr>
              <w:t>下半月</w:t>
            </w:r>
            <w:r>
              <w:rPr>
                <w:rFonts w:hint="eastAsia" w:ascii="宋体" w:hAnsi="宋体" w:eastAsia="方正仿宋_GBK" w:cs="方正仿宋_GBK"/>
                <w:sz w:val="21"/>
                <w:szCs w:val="21"/>
                <w:lang w:eastAsia="zh-CN"/>
              </w:rPr>
              <w:t>）</w:t>
            </w:r>
          </w:p>
        </w:tc>
        <w:tc>
          <w:tcPr>
            <w:tcW w:w="1944"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杨中兰、赵华刚、王丽丽、田伟、易彩梅</w:t>
            </w:r>
          </w:p>
        </w:tc>
        <w:tc>
          <w:tcPr>
            <w:tcW w:w="1010" w:type="dxa"/>
            <w:noWrap w:val="0"/>
            <w:vAlign w:val="center"/>
          </w:tcPr>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sz w:val="21"/>
                <w:szCs w:val="21"/>
                <w:lang w:val="en-US" w:eastAsia="zh-CN"/>
              </w:rPr>
            </w:pPr>
            <w:r>
              <w:rPr>
                <w:rFonts w:hint="eastAsia" w:ascii="宋体" w:hAnsi="宋体" w:eastAsia="方正仿宋_GBK" w:cs="方正仿宋_GBK"/>
                <w:sz w:val="21"/>
                <w:szCs w:val="21"/>
                <w:lang w:val="en-US" w:eastAsia="zh-CN"/>
              </w:rPr>
              <w:t>2013年13卷第9期</w:t>
            </w:r>
          </w:p>
        </w:tc>
        <w:tc>
          <w:tcPr>
            <w:tcW w:w="1276"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sz w:val="21"/>
                <w:szCs w:val="21"/>
                <w:lang w:val="en-US" w:eastAsia="zh-CN"/>
              </w:rPr>
              <w:t>117-119+122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5" w:hRule="exact"/>
          <w:jc w:val="center"/>
        </w:trPr>
        <w:tc>
          <w:tcPr>
            <w:tcW w:w="432"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lang w:val="en-US" w:eastAsia="zh-CN"/>
              </w:rPr>
            </w:pPr>
            <w:r>
              <w:rPr>
                <w:rFonts w:hint="eastAsia" w:ascii="宋体" w:hAnsi="宋体" w:eastAsia="方正仿宋_GBK" w:cs="方正仿宋_GBK"/>
                <w:b w:val="0"/>
                <w:bCs w:val="0"/>
                <w:color w:val="auto"/>
                <w:sz w:val="21"/>
                <w:szCs w:val="21"/>
                <w:highlight w:val="none"/>
                <w:lang w:val="en-US" w:eastAsia="zh-CN"/>
              </w:rPr>
              <w:t>9</w:t>
            </w:r>
          </w:p>
        </w:tc>
        <w:tc>
          <w:tcPr>
            <w:tcW w:w="2259"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文山州清水河流域生态完整性与时空差异研究</w:t>
            </w:r>
          </w:p>
        </w:tc>
        <w:tc>
          <w:tcPr>
            <w:tcW w:w="1461"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水生态学杂志</w:t>
            </w:r>
          </w:p>
        </w:tc>
        <w:tc>
          <w:tcPr>
            <w:tcW w:w="1944"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孙燕利、毛建忠、贺克雕、汪涛</w:t>
            </w:r>
          </w:p>
        </w:tc>
        <w:tc>
          <w:tcPr>
            <w:tcW w:w="1010"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2018年</w:t>
            </w:r>
            <w:r>
              <w:rPr>
                <w:rFonts w:hint="eastAsia" w:ascii="宋体" w:hAnsi="宋体" w:eastAsia="方正仿宋_GBK" w:cs="方正仿宋_GBK"/>
                <w:b w:val="0"/>
                <w:bCs w:val="0"/>
                <w:color w:val="auto"/>
                <w:sz w:val="21"/>
                <w:szCs w:val="21"/>
                <w:highlight w:val="none"/>
                <w:lang w:val="en-US" w:eastAsia="zh-CN"/>
              </w:rPr>
              <w:t>第</w:t>
            </w:r>
            <w:r>
              <w:rPr>
                <w:rFonts w:hint="eastAsia" w:ascii="宋体" w:hAnsi="宋体" w:eastAsia="方正仿宋_GBK" w:cs="方正仿宋_GBK"/>
                <w:b w:val="0"/>
                <w:bCs w:val="0"/>
                <w:color w:val="auto"/>
                <w:sz w:val="21"/>
                <w:szCs w:val="21"/>
                <w:highlight w:val="none"/>
              </w:rPr>
              <w:t>39卷</w:t>
            </w:r>
          </w:p>
        </w:tc>
        <w:tc>
          <w:tcPr>
            <w:tcW w:w="1276"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b w:val="0"/>
                <w:bCs w:val="0"/>
                <w:color w:val="auto"/>
                <w:sz w:val="21"/>
                <w:szCs w:val="21"/>
                <w:highlight w:val="none"/>
              </w:rPr>
              <w:t>22-29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3" w:hRule="exact"/>
          <w:jc w:val="center"/>
        </w:trPr>
        <w:tc>
          <w:tcPr>
            <w:tcW w:w="432"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lang w:val="en-US" w:eastAsia="zh-CN"/>
              </w:rPr>
            </w:pPr>
            <w:r>
              <w:rPr>
                <w:rFonts w:hint="eastAsia" w:ascii="宋体" w:hAnsi="宋体" w:eastAsia="方正仿宋_GBK" w:cs="方正仿宋_GBK"/>
                <w:b w:val="0"/>
                <w:bCs w:val="0"/>
                <w:color w:val="auto"/>
                <w:sz w:val="21"/>
                <w:szCs w:val="21"/>
                <w:highlight w:val="none"/>
                <w:lang w:val="en-US" w:eastAsia="zh-CN"/>
              </w:rPr>
              <w:t>10</w:t>
            </w:r>
          </w:p>
        </w:tc>
        <w:tc>
          <w:tcPr>
            <w:tcW w:w="2259"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云南抚仙湖附生硅藻群落监测分析与评价</w:t>
            </w:r>
          </w:p>
        </w:tc>
        <w:tc>
          <w:tcPr>
            <w:tcW w:w="1461"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人民长江</w:t>
            </w:r>
          </w:p>
        </w:tc>
        <w:tc>
          <w:tcPr>
            <w:tcW w:w="1944"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杨中兰</w:t>
            </w:r>
          </w:p>
        </w:tc>
        <w:tc>
          <w:tcPr>
            <w:tcW w:w="1010"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2013年第44卷第2期</w:t>
            </w:r>
          </w:p>
        </w:tc>
        <w:tc>
          <w:tcPr>
            <w:tcW w:w="1276"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b w:val="0"/>
                <w:bCs w:val="0"/>
                <w:color w:val="auto"/>
                <w:sz w:val="21"/>
                <w:szCs w:val="21"/>
                <w:highlight w:val="none"/>
              </w:rPr>
              <w:t>111-113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7" w:hRule="exact"/>
          <w:jc w:val="center"/>
        </w:trPr>
        <w:tc>
          <w:tcPr>
            <w:tcW w:w="432"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lang w:val="en-US" w:eastAsia="zh-CN"/>
              </w:rPr>
            </w:pPr>
            <w:r>
              <w:rPr>
                <w:rFonts w:hint="eastAsia" w:ascii="宋体" w:hAnsi="宋体" w:eastAsia="方正仿宋_GBK" w:cs="方正仿宋_GBK"/>
                <w:b w:val="0"/>
                <w:bCs w:val="0"/>
                <w:color w:val="auto"/>
                <w:sz w:val="21"/>
                <w:szCs w:val="21"/>
                <w:highlight w:val="none"/>
                <w:lang w:val="en-US" w:eastAsia="zh-CN"/>
              </w:rPr>
              <w:t>11</w:t>
            </w:r>
          </w:p>
        </w:tc>
        <w:tc>
          <w:tcPr>
            <w:tcW w:w="2259"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层次分析法在清水河健康评估体系建立中的应用</w:t>
            </w:r>
          </w:p>
        </w:tc>
        <w:tc>
          <w:tcPr>
            <w:tcW w:w="1461" w:type="dxa"/>
            <w:noWrap w:val="0"/>
            <w:vAlign w:val="center"/>
          </w:tcPr>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sz w:val="21"/>
                <w:szCs w:val="21"/>
              </w:rPr>
              <w:t>中国水运</w:t>
            </w:r>
            <w:r>
              <w:rPr>
                <w:rFonts w:hint="eastAsia" w:ascii="宋体" w:hAnsi="宋体" w:eastAsia="方正仿宋_GBK" w:cs="方正仿宋_GBK"/>
                <w:sz w:val="21"/>
                <w:szCs w:val="21"/>
                <w:lang w:eastAsia="zh-CN"/>
              </w:rPr>
              <w:t>（</w:t>
            </w:r>
            <w:r>
              <w:rPr>
                <w:rFonts w:hint="eastAsia" w:ascii="宋体" w:hAnsi="宋体" w:eastAsia="方正仿宋_GBK" w:cs="方正仿宋_GBK"/>
                <w:sz w:val="21"/>
                <w:szCs w:val="21"/>
              </w:rPr>
              <w:t>下半月</w:t>
            </w:r>
            <w:r>
              <w:rPr>
                <w:rFonts w:hint="eastAsia" w:ascii="宋体" w:hAnsi="宋体" w:eastAsia="方正仿宋_GBK" w:cs="方正仿宋_GBK"/>
                <w:sz w:val="21"/>
                <w:szCs w:val="21"/>
                <w:lang w:eastAsia="zh-CN"/>
              </w:rPr>
              <w:t>）</w:t>
            </w:r>
          </w:p>
        </w:tc>
        <w:tc>
          <w:tcPr>
            <w:tcW w:w="1944"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李春永、田伟、赵华刚、杨中兰</w:t>
            </w:r>
          </w:p>
        </w:tc>
        <w:tc>
          <w:tcPr>
            <w:tcW w:w="1010" w:type="dxa"/>
            <w:noWrap w:val="0"/>
            <w:vAlign w:val="center"/>
          </w:tcPr>
          <w:p>
            <w:pPr>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sz w:val="21"/>
                <w:szCs w:val="21"/>
              </w:rPr>
              <w:t>2013年13卷第5期</w:t>
            </w:r>
          </w:p>
        </w:tc>
        <w:tc>
          <w:tcPr>
            <w:tcW w:w="1276"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sz w:val="21"/>
                <w:szCs w:val="21"/>
              </w:rPr>
              <w:t>98-100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56" w:hRule="exact"/>
          <w:jc w:val="center"/>
        </w:trPr>
        <w:tc>
          <w:tcPr>
            <w:tcW w:w="432"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lang w:val="en-US" w:eastAsia="zh-CN"/>
              </w:rPr>
            </w:pPr>
            <w:r>
              <w:rPr>
                <w:rFonts w:hint="eastAsia" w:ascii="宋体" w:hAnsi="宋体" w:eastAsia="方正仿宋_GBK" w:cs="方正仿宋_GBK"/>
                <w:b w:val="0"/>
                <w:bCs w:val="0"/>
                <w:color w:val="auto"/>
                <w:sz w:val="21"/>
                <w:szCs w:val="21"/>
                <w:highlight w:val="none"/>
                <w:lang w:val="en-US" w:eastAsia="zh-CN"/>
              </w:rPr>
              <w:t>12</w:t>
            </w:r>
          </w:p>
        </w:tc>
        <w:tc>
          <w:tcPr>
            <w:tcW w:w="2259"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color w:val="000000"/>
                <w:kern w:val="0"/>
                <w:sz w:val="21"/>
                <w:szCs w:val="21"/>
                <w:lang w:val="en-US" w:eastAsia="zh-CN" w:bidi="ar"/>
              </w:rPr>
            </w:pPr>
            <w:r>
              <w:rPr>
                <w:rFonts w:hint="eastAsia" w:ascii="宋体" w:hAnsi="宋体" w:eastAsia="方正仿宋_GBK" w:cs="方正仿宋_GBK"/>
                <w:color w:val="000000"/>
                <w:kern w:val="0"/>
                <w:sz w:val="21"/>
                <w:szCs w:val="21"/>
                <w:lang w:val="en-US" w:eastAsia="zh-CN" w:bidi="ar"/>
              </w:rPr>
              <w:t>滇中高原湖泊星云湖水生态健康评价</w:t>
            </w:r>
          </w:p>
        </w:tc>
        <w:tc>
          <w:tcPr>
            <w:tcW w:w="1461"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sz w:val="21"/>
                <w:szCs w:val="21"/>
              </w:rPr>
            </w:pPr>
            <w:r>
              <w:rPr>
                <w:rFonts w:hint="eastAsia" w:ascii="宋体" w:hAnsi="宋体" w:eastAsia="方正仿宋_GBK" w:cs="方正仿宋_GBK"/>
                <w:b w:val="0"/>
                <w:bCs w:val="0"/>
                <w:color w:val="auto"/>
                <w:sz w:val="21"/>
                <w:szCs w:val="21"/>
                <w:highlight w:val="none"/>
              </w:rPr>
              <w:t>中国水利学会2018学术年会论文集第二分册中国水利学会</w:t>
            </w:r>
          </w:p>
        </w:tc>
        <w:tc>
          <w:tcPr>
            <w:tcW w:w="1944"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b w:val="0"/>
                <w:bCs w:val="0"/>
                <w:color w:val="auto"/>
                <w:sz w:val="21"/>
                <w:szCs w:val="21"/>
                <w:highlight w:val="none"/>
              </w:rPr>
            </w:pPr>
            <w:r>
              <w:rPr>
                <w:rFonts w:hint="eastAsia" w:ascii="宋体" w:hAnsi="宋体" w:eastAsia="方正仿宋_GBK" w:cs="方正仿宋_GBK"/>
                <w:b w:val="0"/>
                <w:bCs w:val="0"/>
                <w:color w:val="auto"/>
                <w:sz w:val="21"/>
                <w:szCs w:val="21"/>
                <w:highlight w:val="none"/>
              </w:rPr>
              <w:t>李春永、李艳华、杨中兰、蔡文静</w:t>
            </w:r>
          </w:p>
        </w:tc>
        <w:tc>
          <w:tcPr>
            <w:tcW w:w="1010" w:type="dxa"/>
            <w:noWrap w:val="0"/>
            <w:vAlign w:val="center"/>
          </w:tcPr>
          <w:p>
            <w:pPr>
              <w:pStyle w:val="6"/>
              <w:keepNext w:val="0"/>
              <w:keepLines w:val="0"/>
              <w:pageBreakBefore w:val="0"/>
              <w:shd w:val="clear" w:color="auto" w:fill="auto"/>
              <w:kinsoku/>
              <w:wordWrap/>
              <w:overflowPunct/>
              <w:topLinePunct w:val="0"/>
              <w:autoSpaceDE/>
              <w:autoSpaceDN/>
              <w:bidi w:val="0"/>
              <w:adjustRightInd w:val="0"/>
              <w:snapToGrid w:val="0"/>
              <w:spacing w:after="50" w:line="240" w:lineRule="auto"/>
              <w:ind w:firstLine="0" w:firstLineChars="0"/>
              <w:jc w:val="both"/>
              <w:textAlignment w:val="auto"/>
              <w:outlineLvl w:val="1"/>
              <w:rPr>
                <w:rFonts w:hint="eastAsia" w:ascii="宋体" w:hAnsi="宋体" w:eastAsia="方正仿宋_GBK" w:cs="方正仿宋_GBK"/>
                <w:sz w:val="21"/>
                <w:szCs w:val="21"/>
              </w:rPr>
            </w:pPr>
            <w:r>
              <w:rPr>
                <w:rFonts w:hint="eastAsia" w:ascii="宋体" w:hAnsi="宋体" w:eastAsia="方正仿宋_GBK" w:cs="方正仿宋_GBK"/>
                <w:b w:val="0"/>
                <w:bCs w:val="0"/>
                <w:color w:val="auto"/>
                <w:sz w:val="21"/>
                <w:szCs w:val="21"/>
                <w:highlight w:val="none"/>
              </w:rPr>
              <w:t>2018年10月第二分册</w:t>
            </w:r>
          </w:p>
        </w:tc>
        <w:tc>
          <w:tcPr>
            <w:tcW w:w="1276" w:type="dxa"/>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auto"/>
              <w:jc w:val="both"/>
              <w:textAlignment w:val="auto"/>
              <w:rPr>
                <w:rFonts w:hint="eastAsia" w:ascii="宋体" w:hAnsi="宋体" w:eastAsia="方正仿宋_GBK" w:cs="方正仿宋_GBK"/>
                <w:sz w:val="21"/>
                <w:szCs w:val="21"/>
              </w:rPr>
            </w:pPr>
            <w:r>
              <w:rPr>
                <w:rFonts w:hint="eastAsia" w:ascii="宋体" w:hAnsi="宋体" w:eastAsia="方正仿宋_GBK" w:cs="方正仿宋_GBK"/>
                <w:b w:val="0"/>
                <w:bCs w:val="0"/>
                <w:color w:val="auto"/>
                <w:sz w:val="21"/>
                <w:szCs w:val="21"/>
                <w:highlight w:val="none"/>
              </w:rPr>
              <w:t>155-162</w:t>
            </w:r>
          </w:p>
        </w:tc>
      </w:tr>
    </w:tbl>
    <w:p>
      <w:pPr>
        <w:rPr>
          <w:rFonts w:hint="eastAsia"/>
          <w:lang w:eastAsia="zh-CN"/>
        </w:rPr>
      </w:pPr>
    </w:p>
    <w:p>
      <w:pPr>
        <w:pStyle w:val="9"/>
        <w:keepNext w:val="0"/>
        <w:keepLines w:val="0"/>
        <w:pageBreakBefore w:val="0"/>
        <w:widowControl/>
        <w:kinsoku/>
        <w:wordWrap/>
        <w:overflowPunct/>
        <w:topLinePunct w:val="0"/>
        <w:autoSpaceDE/>
        <w:autoSpaceDN/>
        <w:bidi w:val="0"/>
        <w:snapToGrid w:val="0"/>
        <w:spacing w:before="0" w:beforeAutospacing="0" w:after="0" w:afterAutospacing="0" w:line="360" w:lineRule="auto"/>
        <w:ind w:left="0" w:leftChars="0" w:right="0" w:rightChars="0" w:firstLine="420"/>
        <w:jc w:val="left"/>
        <w:textAlignment w:val="baseline"/>
        <w:outlineLvl w:val="0"/>
        <w:rPr>
          <w:rStyle w:val="13"/>
          <w:rFonts w:hint="eastAsia" w:ascii="方正黑体_GBK" w:hAnsi="方正黑体_GBK" w:eastAsia="方正黑体_GBK" w:cs="方正黑体_GBK"/>
          <w:b w:val="0"/>
          <w:bCs w:val="0"/>
          <w:color w:val="333333"/>
          <w:sz w:val="32"/>
          <w:szCs w:val="32"/>
          <w:lang w:eastAsia="zh-CN"/>
        </w:rPr>
      </w:pPr>
      <w:r>
        <w:rPr>
          <w:rStyle w:val="13"/>
          <w:rFonts w:hint="eastAsia" w:ascii="方正黑体_GBK" w:hAnsi="方正黑体_GBK" w:eastAsia="方正黑体_GBK" w:cs="方正黑体_GBK"/>
          <w:b w:val="0"/>
          <w:bCs w:val="0"/>
          <w:color w:val="333333"/>
          <w:sz w:val="32"/>
          <w:szCs w:val="32"/>
          <w:lang w:eastAsia="zh-CN"/>
        </w:rPr>
        <w:t>四、主要完成人基本情况</w:t>
      </w:r>
    </w:p>
    <w:tbl>
      <w:tblPr>
        <w:tblStyle w:val="11"/>
        <w:tblW w:w="9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056"/>
        <w:gridCol w:w="1578"/>
        <w:gridCol w:w="5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808" w:type="dxa"/>
            <w:noWrap w:val="0"/>
            <w:vAlign w:val="top"/>
          </w:tcPr>
          <w:p>
            <w:pPr>
              <w:keepNext w:val="0"/>
              <w:keepLines w:val="0"/>
              <w:pageBreakBefore w:val="0"/>
              <w:widowControl w:val="0"/>
              <w:kinsoku/>
              <w:wordWrap/>
              <w:overflowPunct/>
              <w:topLinePunct w:val="0"/>
              <w:autoSpaceDE/>
              <w:autoSpaceDN/>
              <w:bidi w:val="0"/>
              <w:spacing w:after="0" w:line="240" w:lineRule="atLeast"/>
              <w:jc w:val="center"/>
              <w:textAlignment w:val="auto"/>
              <w:rPr>
                <w:rFonts w:hint="eastAsia" w:ascii="方正楷体_GBK" w:hAnsi="方正楷体_GBK" w:eastAsia="方正楷体_GBK" w:cs="方正楷体_GBK"/>
                <w:b w:val="0"/>
                <w:bCs w:val="0"/>
                <w:kern w:val="2"/>
                <w:sz w:val="28"/>
                <w:szCs w:val="28"/>
                <w:vertAlign w:val="baseline"/>
                <w:lang w:val="en-US" w:eastAsia="zh-CN" w:bidi="ar-SA"/>
              </w:rPr>
            </w:pPr>
            <w:r>
              <w:rPr>
                <w:rFonts w:hint="eastAsia" w:ascii="方正楷体_GBK" w:hAnsi="方正楷体_GBK" w:eastAsia="方正楷体_GBK" w:cs="方正楷体_GBK"/>
                <w:b w:val="0"/>
                <w:bCs w:val="0"/>
                <w:kern w:val="2"/>
                <w:sz w:val="28"/>
                <w:szCs w:val="28"/>
                <w:vertAlign w:val="baseline"/>
                <w:lang w:val="en-US" w:eastAsia="zh-CN" w:bidi="ar-SA"/>
              </w:rPr>
              <w:t>排名</w:t>
            </w:r>
          </w:p>
        </w:tc>
        <w:tc>
          <w:tcPr>
            <w:tcW w:w="1056" w:type="dxa"/>
            <w:noWrap w:val="0"/>
            <w:vAlign w:val="top"/>
          </w:tcPr>
          <w:p>
            <w:pPr>
              <w:keepNext w:val="0"/>
              <w:keepLines w:val="0"/>
              <w:pageBreakBefore w:val="0"/>
              <w:widowControl w:val="0"/>
              <w:kinsoku/>
              <w:wordWrap/>
              <w:overflowPunct/>
              <w:topLinePunct w:val="0"/>
              <w:autoSpaceDE/>
              <w:autoSpaceDN/>
              <w:bidi w:val="0"/>
              <w:spacing w:after="0" w:line="240" w:lineRule="atLeast"/>
              <w:jc w:val="center"/>
              <w:textAlignment w:val="auto"/>
              <w:rPr>
                <w:rFonts w:hint="eastAsia" w:ascii="方正楷体_GBK" w:hAnsi="方正楷体_GBK" w:eastAsia="方正楷体_GBK" w:cs="方正楷体_GBK"/>
                <w:b w:val="0"/>
                <w:bCs w:val="0"/>
                <w:kern w:val="2"/>
                <w:sz w:val="28"/>
                <w:szCs w:val="28"/>
                <w:vertAlign w:val="baseline"/>
                <w:lang w:val="en-US" w:eastAsia="zh-CN" w:bidi="ar-SA"/>
              </w:rPr>
            </w:pPr>
            <w:r>
              <w:rPr>
                <w:rFonts w:hint="eastAsia" w:ascii="方正楷体_GBK" w:hAnsi="方正楷体_GBK" w:eastAsia="方正楷体_GBK" w:cs="方正楷体_GBK"/>
                <w:b w:val="0"/>
                <w:bCs w:val="0"/>
                <w:kern w:val="2"/>
                <w:sz w:val="28"/>
                <w:szCs w:val="28"/>
                <w:vertAlign w:val="baseline"/>
                <w:lang w:val="en-US" w:eastAsia="zh-CN" w:bidi="ar-SA"/>
              </w:rPr>
              <w:t>姓  名</w:t>
            </w:r>
          </w:p>
        </w:tc>
        <w:tc>
          <w:tcPr>
            <w:tcW w:w="1578" w:type="dxa"/>
            <w:noWrap w:val="0"/>
            <w:vAlign w:val="top"/>
          </w:tcPr>
          <w:p>
            <w:pPr>
              <w:keepNext w:val="0"/>
              <w:keepLines w:val="0"/>
              <w:pageBreakBefore w:val="0"/>
              <w:widowControl w:val="0"/>
              <w:kinsoku/>
              <w:wordWrap/>
              <w:overflowPunct/>
              <w:topLinePunct w:val="0"/>
              <w:autoSpaceDE/>
              <w:autoSpaceDN/>
              <w:bidi w:val="0"/>
              <w:spacing w:after="0" w:line="240" w:lineRule="atLeast"/>
              <w:jc w:val="center"/>
              <w:textAlignment w:val="auto"/>
              <w:rPr>
                <w:rFonts w:hint="eastAsia" w:ascii="方正楷体_GBK" w:hAnsi="方正楷体_GBK" w:eastAsia="方正楷体_GBK" w:cs="方正楷体_GBK"/>
                <w:b w:val="0"/>
                <w:bCs w:val="0"/>
                <w:kern w:val="2"/>
                <w:sz w:val="28"/>
                <w:szCs w:val="28"/>
                <w:vertAlign w:val="baseline"/>
                <w:lang w:val="en-US" w:eastAsia="zh-CN" w:bidi="ar-SA"/>
              </w:rPr>
            </w:pPr>
            <w:r>
              <w:rPr>
                <w:rFonts w:hint="eastAsia" w:ascii="方正楷体_GBK" w:hAnsi="方正楷体_GBK" w:eastAsia="方正楷体_GBK" w:cs="方正楷体_GBK"/>
                <w:b w:val="0"/>
                <w:bCs w:val="0"/>
                <w:kern w:val="2"/>
                <w:sz w:val="28"/>
                <w:szCs w:val="28"/>
                <w:vertAlign w:val="baseline"/>
                <w:lang w:val="en-US" w:eastAsia="zh-CN" w:bidi="ar-SA"/>
              </w:rPr>
              <w:t>单  位</w:t>
            </w:r>
          </w:p>
        </w:tc>
        <w:tc>
          <w:tcPr>
            <w:tcW w:w="5676" w:type="dxa"/>
            <w:noWrap w:val="0"/>
            <w:vAlign w:val="top"/>
          </w:tcPr>
          <w:p>
            <w:pPr>
              <w:keepNext w:val="0"/>
              <w:keepLines w:val="0"/>
              <w:pageBreakBefore w:val="0"/>
              <w:widowControl w:val="0"/>
              <w:kinsoku/>
              <w:wordWrap/>
              <w:overflowPunct/>
              <w:topLinePunct w:val="0"/>
              <w:autoSpaceDE/>
              <w:autoSpaceDN/>
              <w:bidi w:val="0"/>
              <w:spacing w:after="0" w:line="240" w:lineRule="atLeast"/>
              <w:jc w:val="center"/>
              <w:textAlignment w:val="auto"/>
              <w:rPr>
                <w:rFonts w:hint="eastAsia" w:ascii="方正楷体_GBK" w:hAnsi="方正楷体_GBK" w:eastAsia="方正楷体_GBK" w:cs="方正楷体_GBK"/>
                <w:b w:val="0"/>
                <w:bCs w:val="0"/>
                <w:kern w:val="2"/>
                <w:sz w:val="28"/>
                <w:szCs w:val="28"/>
                <w:vertAlign w:val="baseline"/>
                <w:lang w:val="en-US" w:eastAsia="zh-CN" w:bidi="ar-SA"/>
              </w:rPr>
            </w:pPr>
            <w:r>
              <w:rPr>
                <w:rFonts w:hint="eastAsia" w:ascii="方正楷体_GBK" w:hAnsi="方正楷体_GBK" w:eastAsia="方正楷体_GBK" w:cs="方正楷体_GBK"/>
                <w:b w:val="0"/>
                <w:bCs w:val="0"/>
                <w:kern w:val="2"/>
                <w:sz w:val="28"/>
                <w:szCs w:val="28"/>
                <w:vertAlign w:val="baseline"/>
                <w:lang w:val="en-US" w:eastAsia="zh-CN" w:bidi="ar-SA"/>
              </w:rPr>
              <w:t>对本项目贡献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1</w:t>
            </w:r>
          </w:p>
        </w:tc>
        <w:tc>
          <w:tcPr>
            <w:tcW w:w="1056"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李伯根</w:t>
            </w:r>
          </w:p>
        </w:tc>
        <w:tc>
          <w:tcPr>
            <w:tcW w:w="1578"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云南省水文水资源局</w:t>
            </w:r>
          </w:p>
        </w:tc>
        <w:tc>
          <w:tcPr>
            <w:tcW w:w="567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8"/>
                <w:szCs w:val="28"/>
                <w:vertAlign w:val="baseline"/>
                <w:lang w:val="en-US" w:eastAsia="zh-CN" w:bidi="ar-SA"/>
              </w:rPr>
            </w:pPr>
            <w:r>
              <w:rPr>
                <w:rFonts w:hint="default" w:ascii="宋体" w:hAnsi="宋体" w:eastAsia="方正仿宋_GBK"/>
                <w:kern w:val="2"/>
                <w:sz w:val="21"/>
                <w:szCs w:val="21"/>
                <w:vertAlign w:val="baseline"/>
                <w:lang w:val="en-US" w:eastAsia="zh-CN" w:bidi="ar-SA"/>
              </w:rPr>
              <w:t>项目总负责人，提出本项目研究课题，全面负责项目工作研究经费的申请和立项；确定研究思路、技术路线和技术方案，组织技术讨论、协调解决技术难题，组织课题成果论证。总体把握项目进展，审查课题成果报告和相关资料。研究提出以生态水位与水质为重点的程海湖水生态系统保护控制目标</w:t>
            </w:r>
            <w:r>
              <w:rPr>
                <w:rFonts w:hint="eastAsia" w:ascii="宋体" w:hAnsi="宋体" w:eastAsia="方正仿宋_GBK"/>
                <w:kern w:val="2"/>
                <w:sz w:val="21"/>
                <w:szCs w:val="21"/>
                <w:vertAlign w:val="baseline"/>
                <w:lang w:val="en-US" w:eastAsia="zh-CN" w:bidi="ar-SA"/>
              </w:rPr>
              <w:t>，</w:t>
            </w:r>
            <w:r>
              <w:rPr>
                <w:rFonts w:hint="default" w:ascii="宋体" w:hAnsi="宋体" w:eastAsia="方正仿宋_GBK"/>
                <w:kern w:val="2"/>
                <w:sz w:val="21"/>
                <w:szCs w:val="21"/>
                <w:vertAlign w:val="baseline"/>
                <w:lang w:val="en-US" w:eastAsia="zh-CN" w:bidi="ar-SA"/>
              </w:rPr>
              <w:t>提出外流域补水工程水源比选建议。是项目创新点1、2、3、4的主要贡献者，是代表性专著2的第二作者。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2</w:t>
            </w:r>
          </w:p>
        </w:tc>
        <w:tc>
          <w:tcPr>
            <w:tcW w:w="1056"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李艳华</w:t>
            </w:r>
          </w:p>
        </w:tc>
        <w:tc>
          <w:tcPr>
            <w:tcW w:w="1578"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云南省水文水资源局</w:t>
            </w:r>
          </w:p>
        </w:tc>
        <w:tc>
          <w:tcPr>
            <w:tcW w:w="567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1"/>
                <w:szCs w:val="21"/>
                <w:vertAlign w:val="baseline"/>
                <w:lang w:val="en-US" w:eastAsia="zh-CN" w:bidi="ar-SA"/>
              </w:rPr>
            </w:pPr>
            <w:r>
              <w:rPr>
                <w:rFonts w:hint="default" w:ascii="宋体" w:hAnsi="宋体" w:eastAsia="方正仿宋_GBK"/>
                <w:kern w:val="2"/>
                <w:sz w:val="21"/>
                <w:szCs w:val="21"/>
                <w:vertAlign w:val="baseline"/>
                <w:lang w:val="en-US" w:eastAsia="zh-CN" w:bidi="ar-SA"/>
              </w:rPr>
              <w:t>项目技术负责人，负责工作方案编制，制定项目技术方案和技术路线；系统构建了云南省河湖健康评估指标体系，确定云南省河湖健康评估指标体系结构、指标组成和量化指标评估基准、评分标准，完成河湖健康评估准则层、指标层、量化指标的权重分配理论基础研究，确定河湖健康分级评估方法；确定云南省高原湖泊、山区性河流评估分区原则和各试点河湖具体评估分区方案；确定抚仙湖、星云湖、清水河、程海、五郎河、仙人河等健康评估量化指标；制定遥感影像解译技术运用于河湖滨带物理结构指标调查分析技术方案；主持各试点河湖健康评估数据分析，识别引起河湖健康问题的主要指标和关键因子，主持完成各试点河湖健康评估成果报告。是项目创新点1、2、3、4的主要贡献者；是代表性专利第九位发明人，是代表性专著1的第一作者，是代表性论文4、5的第二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3</w:t>
            </w:r>
          </w:p>
        </w:tc>
        <w:tc>
          <w:tcPr>
            <w:tcW w:w="1056"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孙燕利</w:t>
            </w:r>
          </w:p>
        </w:tc>
        <w:tc>
          <w:tcPr>
            <w:tcW w:w="1578"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云南省水文水资源局</w:t>
            </w:r>
          </w:p>
        </w:tc>
        <w:tc>
          <w:tcPr>
            <w:tcW w:w="567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1"/>
                <w:szCs w:val="21"/>
                <w:vertAlign w:val="baseline"/>
                <w:lang w:val="en-US" w:eastAsia="zh-CN" w:bidi="ar-SA"/>
              </w:rPr>
            </w:pPr>
            <w:r>
              <w:rPr>
                <w:rFonts w:hint="default" w:ascii="宋体" w:hAnsi="宋体" w:eastAsia="方正仿宋_GBK"/>
                <w:kern w:val="2"/>
                <w:sz w:val="21"/>
                <w:szCs w:val="21"/>
                <w:vertAlign w:val="baseline"/>
                <w:lang w:val="en-US" w:eastAsia="zh-CN" w:bidi="ar-SA"/>
              </w:rPr>
              <w:t>项目第三完成人。参与项目工作方案编制；参与构建云南省河湖健康评估指标体系；参与量化指标筛选和评估基准、评分标准制定；参与遥感影像解译技术运用于河湖滨带物理结构指标调查分析技术工作；负责制定河湖物理结构、社会服务功能等指标调查监测技术要求；主持完成程海、五郎河健康评估数据汇总分析和健康评估报告编写，参与仙人河健康评估分析和报告编写。是项目创新点1、2、3的主要贡献者；是代表性专利第十位发明人，是代表性专著1的主要参编人员，是代表性论文9 的第一作者。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4</w:t>
            </w:r>
          </w:p>
        </w:tc>
        <w:tc>
          <w:tcPr>
            <w:tcW w:w="1056"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杨中兰</w:t>
            </w:r>
          </w:p>
        </w:tc>
        <w:tc>
          <w:tcPr>
            <w:tcW w:w="1578"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云南省水文水资源局</w:t>
            </w:r>
          </w:p>
        </w:tc>
        <w:tc>
          <w:tcPr>
            <w:tcW w:w="567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1"/>
                <w:szCs w:val="21"/>
                <w:vertAlign w:val="baseline"/>
                <w:lang w:val="en-US" w:eastAsia="zh-CN" w:bidi="ar-SA"/>
              </w:rPr>
            </w:pPr>
            <w:r>
              <w:rPr>
                <w:rFonts w:hint="default" w:ascii="宋体" w:hAnsi="宋体" w:eastAsia="方正仿宋_GBK"/>
                <w:kern w:val="2"/>
                <w:sz w:val="21"/>
                <w:szCs w:val="21"/>
                <w:vertAlign w:val="baseline"/>
                <w:lang w:val="en-US" w:eastAsia="zh-CN" w:bidi="ar-SA"/>
              </w:rPr>
              <w:t>项目第四完成人。参与项目工作方案编制，参与构建云南省河湖健康评估指标体系，参与量化指标筛选和评估基准、评分标准制定，负责制定水质、水生生物等指标调查监测技术要求，负责完成抚仙湖、星云湖健康评估数据汇总分析，是抚仙湖、星云湖健康评估报告的主要编写人员。是项目创新点1、2、4的主要贡献者；是代表性专著1的主要参编人员，是代表性论文8的第一作者，是代表性论文10的唯一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5</w:t>
            </w:r>
          </w:p>
        </w:tc>
        <w:tc>
          <w:tcPr>
            <w:tcW w:w="1056"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李睿淼</w:t>
            </w:r>
          </w:p>
        </w:tc>
        <w:tc>
          <w:tcPr>
            <w:tcW w:w="1578" w:type="dxa"/>
            <w:noWrap w:val="0"/>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云南省水文水资源局</w:t>
            </w:r>
          </w:p>
        </w:tc>
        <w:tc>
          <w:tcPr>
            <w:tcW w:w="5676"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1"/>
                <w:szCs w:val="21"/>
                <w:vertAlign w:val="baseline"/>
                <w:lang w:val="en-US" w:eastAsia="zh-CN" w:bidi="ar-SA"/>
              </w:rPr>
            </w:pPr>
            <w:r>
              <w:rPr>
                <w:rFonts w:hint="default" w:ascii="宋体" w:hAnsi="宋体" w:eastAsia="方正仿宋_GBK"/>
                <w:kern w:val="2"/>
                <w:sz w:val="21"/>
                <w:szCs w:val="21"/>
                <w:vertAlign w:val="baseline"/>
                <w:lang w:val="en-US" w:eastAsia="zh-CN" w:bidi="ar-SA"/>
              </w:rPr>
              <w:t>项目第五完成人。参与项目工作方案编制，参与构建云南省河湖健康评估指标体系，参与量化指标筛选，负责完成仙人河健康评估数据汇总分析，是程海、五郎河、仙人河健康评估报告的主要编写人员。是项目创新点1、2的主要贡献者；是代表性专著1的主要参编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6</w:t>
            </w:r>
          </w:p>
        </w:tc>
        <w:tc>
          <w:tcPr>
            <w:tcW w:w="105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刘晓波</w:t>
            </w:r>
          </w:p>
        </w:tc>
        <w:tc>
          <w:tcPr>
            <w:tcW w:w="157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中国水利水电科学研究院</w:t>
            </w:r>
          </w:p>
        </w:tc>
        <w:tc>
          <w:tcPr>
            <w:tcW w:w="5676" w:type="dxa"/>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1"/>
                <w:szCs w:val="21"/>
                <w:vertAlign w:val="baseline"/>
                <w:lang w:val="en-US" w:eastAsia="zh-CN" w:bidi="ar-SA"/>
              </w:rPr>
            </w:pPr>
            <w:r>
              <w:rPr>
                <w:rFonts w:hint="default" w:ascii="宋体" w:hAnsi="宋体" w:eastAsia="方正仿宋_GBK"/>
                <w:kern w:val="2"/>
                <w:sz w:val="21"/>
                <w:szCs w:val="21"/>
                <w:vertAlign w:val="baseline"/>
                <w:lang w:val="en-US" w:eastAsia="zh-CN" w:bidi="ar-SA"/>
              </w:rPr>
              <w:t>项目第六完成人。系统构建了以湖库生态安全保障为目标的三级减污溯源及靶向识别技术，弥补了常用方法简化流域水文水动力过程的不足，增强了流域减污方案的精度和针对性。创新了湖库生境强化修复技术、生态补水多目标优化方法，协同施策提升湖库水生态承载力。是项目创新点5的主要贡献者；是代表性专利第一位发明人，是代表性专著2的第一作者，是代表性论文3、6的第二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7</w:t>
            </w:r>
          </w:p>
        </w:tc>
        <w:tc>
          <w:tcPr>
            <w:tcW w:w="105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冯梅</w:t>
            </w:r>
          </w:p>
        </w:tc>
        <w:tc>
          <w:tcPr>
            <w:tcW w:w="157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云南省水文水资源局玉溪分局</w:t>
            </w:r>
            <w:bookmarkStart w:id="0" w:name="_GoBack"/>
            <w:bookmarkEnd w:id="0"/>
          </w:p>
        </w:tc>
        <w:tc>
          <w:tcPr>
            <w:tcW w:w="5676" w:type="dxa"/>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1"/>
                <w:szCs w:val="21"/>
                <w:vertAlign w:val="baseline"/>
                <w:lang w:val="en-US" w:eastAsia="zh-CN" w:bidi="ar-SA"/>
              </w:rPr>
            </w:pPr>
            <w:r>
              <w:rPr>
                <w:rFonts w:hint="default" w:ascii="宋体" w:hAnsi="宋体" w:eastAsia="方正仿宋_GBK"/>
                <w:kern w:val="2"/>
                <w:sz w:val="21"/>
                <w:szCs w:val="21"/>
                <w:vertAlign w:val="baseline"/>
                <w:lang w:val="en-US" w:eastAsia="zh-CN" w:bidi="ar-SA"/>
              </w:rPr>
              <w:t>项目第七完成人。参与抚仙湖、星云湖健康评估量化指标筛选，参与抚仙湖、星云湖健康评估调查方案策划，主持完成抚仙湖、星云湖健康评估基础资料收集、全面野外实地调查监测和公众满意度调查，参与抚仙湖、星云湖健康评估数据汇总分析，是抚仙湖健康评估报告的主要编写人员。是项目创新点1、2的主要贡献者；是代表性论文7的第一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8</w:t>
            </w:r>
          </w:p>
        </w:tc>
        <w:tc>
          <w:tcPr>
            <w:tcW w:w="105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方金鑫</w:t>
            </w:r>
          </w:p>
        </w:tc>
        <w:tc>
          <w:tcPr>
            <w:tcW w:w="157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云南省水文水资源局丽江分局</w:t>
            </w:r>
          </w:p>
        </w:tc>
        <w:tc>
          <w:tcPr>
            <w:tcW w:w="5676" w:type="dxa"/>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1"/>
                <w:szCs w:val="21"/>
                <w:vertAlign w:val="baseline"/>
                <w:lang w:val="en-US" w:eastAsia="zh-CN" w:bidi="ar-SA"/>
              </w:rPr>
            </w:pPr>
            <w:r>
              <w:rPr>
                <w:rFonts w:hint="default" w:ascii="宋体" w:hAnsi="宋体" w:eastAsia="方正仿宋_GBK"/>
                <w:kern w:val="2"/>
                <w:sz w:val="21"/>
                <w:szCs w:val="21"/>
                <w:vertAlign w:val="baseline"/>
                <w:lang w:val="en-US" w:eastAsia="zh-CN" w:bidi="ar-SA"/>
              </w:rPr>
              <w:t>项目第八完成人。参与程海、五郎河、仙人河健康评估及可持续利用对策研究调查方案策划，主持完成程海、五郎河、仙人河健康评估基础资料收集、全面野外实地调查监测和公众满意度调查，是程海湖健康评估及可持续利用对策研究报告的主要编制人员。是项目创新点5的主要贡献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9</w:t>
            </w:r>
          </w:p>
        </w:tc>
        <w:tc>
          <w:tcPr>
            <w:tcW w:w="105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胡林凯</w:t>
            </w:r>
          </w:p>
        </w:tc>
        <w:tc>
          <w:tcPr>
            <w:tcW w:w="157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云南省水文水资源局文山分局</w:t>
            </w:r>
          </w:p>
        </w:tc>
        <w:tc>
          <w:tcPr>
            <w:tcW w:w="5676" w:type="dxa"/>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1"/>
                <w:szCs w:val="21"/>
                <w:vertAlign w:val="baseline"/>
                <w:lang w:val="en-US" w:eastAsia="zh-CN" w:bidi="ar-SA"/>
              </w:rPr>
            </w:pPr>
            <w:r>
              <w:rPr>
                <w:rFonts w:hint="default" w:ascii="宋体" w:hAnsi="宋体" w:eastAsia="方正仿宋_GBK"/>
                <w:kern w:val="2"/>
                <w:sz w:val="21"/>
                <w:szCs w:val="21"/>
                <w:vertAlign w:val="baseline"/>
                <w:lang w:val="en-US" w:eastAsia="zh-CN" w:bidi="ar-SA"/>
              </w:rPr>
              <w:t>项目第九完成人。参与清水河健康评估水文、社会服务功能量化指标筛选，参与清水河健康评估调查方案策划，参与清水河健康评估数据汇总分析，是抚仙湖、星云湖、清水河健康评估报告的主要编写人员。是项目创新点1、2的主要贡献者；是代表性专著1的主要参编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10</w:t>
            </w:r>
          </w:p>
        </w:tc>
        <w:tc>
          <w:tcPr>
            <w:tcW w:w="105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董飞</w:t>
            </w:r>
          </w:p>
        </w:tc>
        <w:tc>
          <w:tcPr>
            <w:tcW w:w="157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中国水利水电科学研究院</w:t>
            </w:r>
          </w:p>
        </w:tc>
        <w:tc>
          <w:tcPr>
            <w:tcW w:w="5676" w:type="dxa"/>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1"/>
                <w:szCs w:val="21"/>
                <w:vertAlign w:val="baseline"/>
                <w:lang w:val="en-US" w:eastAsia="zh-CN" w:bidi="ar-SA"/>
              </w:rPr>
            </w:pPr>
            <w:r>
              <w:rPr>
                <w:rFonts w:hint="default" w:ascii="宋体" w:hAnsi="宋体" w:eastAsia="方正仿宋_GBK"/>
                <w:kern w:val="2"/>
                <w:sz w:val="21"/>
                <w:szCs w:val="21"/>
                <w:vertAlign w:val="baseline"/>
                <w:lang w:val="en-US" w:eastAsia="zh-CN" w:bidi="ar-SA"/>
              </w:rPr>
              <w:t>项目第十完成人。研发了以生态水位为目标的湖库生态安全保障技术，实现了跨流域补水工程与湖库生态系统可持续发展的联控联调。研发了湖库多要素全过程的水生态环境模型，耦合了水库群的综合调度模型，提高了湖库流域污染输出-河网迁移转化-湖库生态响应的定量化求解精度。是项目创新点5的主要贡献者；是代表性专利第六位发明人，是代表性专著2的主要参编人员，是代表性论文3  的第四作者。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11</w:t>
            </w:r>
          </w:p>
        </w:tc>
        <w:tc>
          <w:tcPr>
            <w:tcW w:w="1056"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陈学凯</w:t>
            </w:r>
          </w:p>
        </w:tc>
        <w:tc>
          <w:tcPr>
            <w:tcW w:w="1578" w:type="dxa"/>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方正仿宋_GBK" w:hAnsi="方正仿宋_GBK" w:eastAsia="方正仿宋_GBK" w:cs="方正仿宋_GBK"/>
                <w:i w:val="0"/>
                <w:caps w:val="0"/>
                <w:color w:val="auto"/>
                <w:spacing w:val="0"/>
                <w:kern w:val="0"/>
                <w:sz w:val="24"/>
                <w:szCs w:val="24"/>
                <w:shd w:val="clear" w:fill="FFFFFF"/>
                <w:vertAlign w:val="baseline"/>
                <w:lang w:val="en-US" w:eastAsia="zh-CN" w:bidi="ar"/>
              </w:rPr>
            </w:pPr>
            <w:r>
              <w:rPr>
                <w:rFonts w:hint="eastAsia" w:ascii="方正仿宋_GBK" w:hAnsi="方正仿宋_GBK" w:eastAsia="方正仿宋_GBK" w:cs="方正仿宋_GBK"/>
                <w:i w:val="0"/>
                <w:caps w:val="0"/>
                <w:color w:val="auto"/>
                <w:spacing w:val="0"/>
                <w:kern w:val="0"/>
                <w:sz w:val="24"/>
                <w:szCs w:val="24"/>
                <w:shd w:val="clear" w:fill="FFFFFF"/>
                <w:vertAlign w:val="baseline"/>
                <w:lang w:val="en-US" w:eastAsia="zh-CN" w:bidi="ar"/>
              </w:rPr>
              <w:t>中国水利水电科学研究院</w:t>
            </w:r>
          </w:p>
        </w:tc>
        <w:tc>
          <w:tcPr>
            <w:tcW w:w="5676" w:type="dxa"/>
          </w:tcPr>
          <w:p>
            <w:pPr>
              <w:keepNext w:val="0"/>
              <w:keepLines w:val="0"/>
              <w:pageBreakBefore w:val="0"/>
              <w:widowControl w:val="0"/>
              <w:kinsoku/>
              <w:wordWrap/>
              <w:overflowPunct/>
              <w:topLinePunct w:val="0"/>
              <w:autoSpaceDE/>
              <w:autoSpaceDN/>
              <w:bidi w:val="0"/>
              <w:adjustRightInd/>
              <w:snapToGrid/>
              <w:spacing w:after="0" w:line="240" w:lineRule="atLeast"/>
              <w:jc w:val="left"/>
              <w:textAlignment w:val="auto"/>
              <w:rPr>
                <w:rFonts w:hint="default" w:ascii="宋体" w:hAnsi="宋体" w:eastAsia="方正仿宋_GBK"/>
                <w:kern w:val="2"/>
                <w:sz w:val="21"/>
                <w:szCs w:val="21"/>
                <w:vertAlign w:val="baseline"/>
                <w:lang w:val="en-US" w:eastAsia="zh-CN" w:bidi="ar-SA"/>
              </w:rPr>
            </w:pPr>
            <w:r>
              <w:rPr>
                <w:rFonts w:hint="default" w:ascii="宋体" w:hAnsi="宋体" w:eastAsia="方正仿宋_GBK"/>
                <w:kern w:val="2"/>
                <w:sz w:val="21"/>
                <w:szCs w:val="21"/>
                <w:vertAlign w:val="baseline"/>
                <w:lang w:val="en-US" w:eastAsia="zh-CN" w:bidi="ar-SA"/>
              </w:rPr>
              <w:t>项目第十一完成人。建立了资料缺乏区域的流域面源污染负荷计算方法，揭示了湖库生态安全的空间马尔科夫链风险因子迁移转化规律，系统构建了以湖库生态安全保障为目标的多要素全过程靶向治理识别技术。是项目创新点5的主要贡献者；是代表性专利第二位发明人，是代表性专著2的主要参编人员，是代表性论文3、6的第一作者。</w:t>
            </w:r>
          </w:p>
        </w:tc>
      </w:tr>
    </w:tbl>
    <w:p>
      <w:pPr>
        <w:spacing w:line="360" w:lineRule="auto"/>
        <w:ind w:firstLine="465"/>
        <w:rPr>
          <w:rFonts w:asciiTheme="minorEastAsia" w:hAnsiTheme="minorEastAsia" w:eastAsiaTheme="minorEastAsia"/>
          <w:sz w:val="24"/>
          <w:szCs w:val="24"/>
        </w:rPr>
      </w:pPr>
    </w:p>
    <w:sectPr>
      <w:headerReference r:id="rId5" w:type="default"/>
      <w:footerReference r:id="rId6" w:type="default"/>
      <w:pgSz w:w="11906" w:h="16838"/>
      <w:pgMar w:top="2098" w:right="1474" w:bottom="1984" w:left="1587" w:header="708" w:footer="708" w:gutter="0"/>
      <w:pgNumType w:fmt="decimal"/>
      <w:cols w:space="708"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posOffset>4979035</wp:posOffset>
              </wp:positionH>
              <wp:positionV relativeFrom="paragraph">
                <wp:posOffset>-535305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92.05pt;margin-top:-42.15pt;height:144pt;width:144pt;mso-position-horizontal-relative:margin;mso-wrap-style:none;z-index:251659264;mso-width-relative:page;mso-height-relative:page;" filled="f" stroked="f" coordsize="21600,21600" o:gfxdata="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7oaF19&#10;qPoLmDvLwlbvLI9ponrero4BYnYaR4F6VQbdMHldl4ZXEkf7z30X9fhnWP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MtRdNgAAAAMAQAADwAAAAAAAAABACAAAAAiAAAAZHJzL2Rvd25yZXYueG1s&#10;UEsBAhQAFAAAAAgAh07iQGuF+fsxAgAAYQQAAA4AAAAAAAAAAQAgAAAAJwEAAGRycy9lMm9Eb2Mu&#10;eG1sUEsFBgAAAAAGAAYAWQEAAMoFA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tabs>
        <w:tab w:val="left" w:pos="4896"/>
      </w:tabs>
      <w:jc w:val="left"/>
      <w:rPr>
        <w:rFonts w:hint="eastAsia" w:eastAsia="微软雅黑"/>
        <w:lang w:eastAsia="zh-CN"/>
      </w:rPr>
    </w:pPr>
    <w:r>
      <w:rPr>
        <w:rFonts w:hint="eastAsia"/>
        <w:lang w:eastAsia="zh-C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mM2Y3MTdkMmUxMzNmYmJkMWE3ZGExZDEyZmYzMDEifQ=="/>
  </w:docVars>
  <w:rsids>
    <w:rsidRoot w:val="00D31D50"/>
    <w:rsid w:val="00005FF0"/>
    <w:rsid w:val="00074ED9"/>
    <w:rsid w:val="00074FF4"/>
    <w:rsid w:val="0009293D"/>
    <w:rsid w:val="000A6301"/>
    <w:rsid w:val="000A67EB"/>
    <w:rsid w:val="000B5A9C"/>
    <w:rsid w:val="000E3059"/>
    <w:rsid w:val="00123638"/>
    <w:rsid w:val="00126FE3"/>
    <w:rsid w:val="0013130E"/>
    <w:rsid w:val="00136170"/>
    <w:rsid w:val="001516F2"/>
    <w:rsid w:val="00153AD7"/>
    <w:rsid w:val="00165BFC"/>
    <w:rsid w:val="001853AE"/>
    <w:rsid w:val="00191BC9"/>
    <w:rsid w:val="001A0021"/>
    <w:rsid w:val="001A6249"/>
    <w:rsid w:val="001C0ACF"/>
    <w:rsid w:val="001F660A"/>
    <w:rsid w:val="002001BE"/>
    <w:rsid w:val="00221522"/>
    <w:rsid w:val="0022515A"/>
    <w:rsid w:val="00242E8A"/>
    <w:rsid w:val="00243316"/>
    <w:rsid w:val="00257612"/>
    <w:rsid w:val="00263BD7"/>
    <w:rsid w:val="002804C7"/>
    <w:rsid w:val="002C78D0"/>
    <w:rsid w:val="002D4FF6"/>
    <w:rsid w:val="002E6883"/>
    <w:rsid w:val="002F029F"/>
    <w:rsid w:val="002F58A4"/>
    <w:rsid w:val="00302116"/>
    <w:rsid w:val="003154B9"/>
    <w:rsid w:val="00323B43"/>
    <w:rsid w:val="0035319E"/>
    <w:rsid w:val="00363D0D"/>
    <w:rsid w:val="00382A58"/>
    <w:rsid w:val="003945A4"/>
    <w:rsid w:val="003B491C"/>
    <w:rsid w:val="003B740A"/>
    <w:rsid w:val="003D37D8"/>
    <w:rsid w:val="003E5C07"/>
    <w:rsid w:val="004161B2"/>
    <w:rsid w:val="00426133"/>
    <w:rsid w:val="004358AB"/>
    <w:rsid w:val="00440C99"/>
    <w:rsid w:val="00456F91"/>
    <w:rsid w:val="00461D33"/>
    <w:rsid w:val="004B4469"/>
    <w:rsid w:val="00505F60"/>
    <w:rsid w:val="00540099"/>
    <w:rsid w:val="00563C3C"/>
    <w:rsid w:val="00572909"/>
    <w:rsid w:val="00591B30"/>
    <w:rsid w:val="00592598"/>
    <w:rsid w:val="005E466F"/>
    <w:rsid w:val="00606CB6"/>
    <w:rsid w:val="00613675"/>
    <w:rsid w:val="00656E57"/>
    <w:rsid w:val="006A53A6"/>
    <w:rsid w:val="006C1879"/>
    <w:rsid w:val="006E0757"/>
    <w:rsid w:val="006E1D64"/>
    <w:rsid w:val="006F2B98"/>
    <w:rsid w:val="0071035F"/>
    <w:rsid w:val="0071121C"/>
    <w:rsid w:val="007778E9"/>
    <w:rsid w:val="007A10D6"/>
    <w:rsid w:val="007B6E9E"/>
    <w:rsid w:val="007C7F91"/>
    <w:rsid w:val="007F5C1E"/>
    <w:rsid w:val="00892C41"/>
    <w:rsid w:val="0089592D"/>
    <w:rsid w:val="008961EB"/>
    <w:rsid w:val="00896E8F"/>
    <w:rsid w:val="008A5244"/>
    <w:rsid w:val="008B7575"/>
    <w:rsid w:val="008B7726"/>
    <w:rsid w:val="008C3D59"/>
    <w:rsid w:val="0090450B"/>
    <w:rsid w:val="009144C2"/>
    <w:rsid w:val="009346D7"/>
    <w:rsid w:val="009516B9"/>
    <w:rsid w:val="009673A2"/>
    <w:rsid w:val="0099325B"/>
    <w:rsid w:val="009E5638"/>
    <w:rsid w:val="009E73AF"/>
    <w:rsid w:val="00A07BAA"/>
    <w:rsid w:val="00A6698A"/>
    <w:rsid w:val="00A92C6D"/>
    <w:rsid w:val="00AC1524"/>
    <w:rsid w:val="00AD7290"/>
    <w:rsid w:val="00AE3CC9"/>
    <w:rsid w:val="00B1578A"/>
    <w:rsid w:val="00B23DA7"/>
    <w:rsid w:val="00B373DC"/>
    <w:rsid w:val="00B42D72"/>
    <w:rsid w:val="00B43FA3"/>
    <w:rsid w:val="00B671F9"/>
    <w:rsid w:val="00B75FB0"/>
    <w:rsid w:val="00B84203"/>
    <w:rsid w:val="00BC49BA"/>
    <w:rsid w:val="00BE5143"/>
    <w:rsid w:val="00BF4A12"/>
    <w:rsid w:val="00C02FAB"/>
    <w:rsid w:val="00C57CFB"/>
    <w:rsid w:val="00C6141A"/>
    <w:rsid w:val="00C621DC"/>
    <w:rsid w:val="00C640A1"/>
    <w:rsid w:val="00C700E7"/>
    <w:rsid w:val="00C74352"/>
    <w:rsid w:val="00D12D2D"/>
    <w:rsid w:val="00D17A7F"/>
    <w:rsid w:val="00D204A7"/>
    <w:rsid w:val="00D25757"/>
    <w:rsid w:val="00D31D50"/>
    <w:rsid w:val="00D5732B"/>
    <w:rsid w:val="00D87BAB"/>
    <w:rsid w:val="00DA6AFF"/>
    <w:rsid w:val="00E064B9"/>
    <w:rsid w:val="00E212F2"/>
    <w:rsid w:val="00E239BF"/>
    <w:rsid w:val="00E44259"/>
    <w:rsid w:val="00E5141D"/>
    <w:rsid w:val="00E718DE"/>
    <w:rsid w:val="00E8574B"/>
    <w:rsid w:val="00E85D04"/>
    <w:rsid w:val="00E95BE4"/>
    <w:rsid w:val="00EA414D"/>
    <w:rsid w:val="00EA4798"/>
    <w:rsid w:val="00F03F66"/>
    <w:rsid w:val="00F2547E"/>
    <w:rsid w:val="00F53056"/>
    <w:rsid w:val="00F54EEB"/>
    <w:rsid w:val="00F77B72"/>
    <w:rsid w:val="00F95217"/>
    <w:rsid w:val="00FB6F5A"/>
    <w:rsid w:val="00FD4F23"/>
    <w:rsid w:val="00FF0EF4"/>
    <w:rsid w:val="04587666"/>
    <w:rsid w:val="088E7457"/>
    <w:rsid w:val="0DE764AE"/>
    <w:rsid w:val="177C6724"/>
    <w:rsid w:val="194C488B"/>
    <w:rsid w:val="19743D04"/>
    <w:rsid w:val="1C334522"/>
    <w:rsid w:val="1DA83249"/>
    <w:rsid w:val="1F044046"/>
    <w:rsid w:val="21E668C5"/>
    <w:rsid w:val="27997517"/>
    <w:rsid w:val="27A533D7"/>
    <w:rsid w:val="27B41432"/>
    <w:rsid w:val="27C72954"/>
    <w:rsid w:val="28261018"/>
    <w:rsid w:val="2DEF5F41"/>
    <w:rsid w:val="2E7C7472"/>
    <w:rsid w:val="313B2696"/>
    <w:rsid w:val="3164478F"/>
    <w:rsid w:val="32AD680C"/>
    <w:rsid w:val="35037F9C"/>
    <w:rsid w:val="38DF2481"/>
    <w:rsid w:val="3A222FDB"/>
    <w:rsid w:val="3BD02780"/>
    <w:rsid w:val="45142931"/>
    <w:rsid w:val="45711B7D"/>
    <w:rsid w:val="47EC6507"/>
    <w:rsid w:val="4D0A70F0"/>
    <w:rsid w:val="4E290153"/>
    <w:rsid w:val="4F463E72"/>
    <w:rsid w:val="54166795"/>
    <w:rsid w:val="56441426"/>
    <w:rsid w:val="56A059EF"/>
    <w:rsid w:val="56CD59AA"/>
    <w:rsid w:val="57C83F73"/>
    <w:rsid w:val="582D4F43"/>
    <w:rsid w:val="58FD746F"/>
    <w:rsid w:val="5C3D13FC"/>
    <w:rsid w:val="5FA458E0"/>
    <w:rsid w:val="5FCE7B46"/>
    <w:rsid w:val="66E46E89"/>
    <w:rsid w:val="672025E5"/>
    <w:rsid w:val="702D4479"/>
    <w:rsid w:val="710F2EB4"/>
    <w:rsid w:val="742B3A05"/>
    <w:rsid w:val="781F6105"/>
    <w:rsid w:val="79E56C0D"/>
    <w:rsid w:val="7AAE08B6"/>
    <w:rsid w:val="7AF159A2"/>
    <w:rsid w:val="7BC370A0"/>
    <w:rsid w:val="7DFF5140"/>
    <w:rsid w:val="7FCE30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semiHidden/>
    <w:unhideWhenUsed/>
    <w:qFormat/>
    <w:uiPriority w:val="9"/>
    <w:pPr>
      <w:keepNext/>
      <w:keepLines/>
      <w:spacing w:beforeLines="0" w:beforeAutospacing="0" w:afterLines="0" w:afterAutospacing="0" w:line="360" w:lineRule="auto"/>
      <w:ind w:firstLine="880" w:firstLineChars="200"/>
      <w:outlineLvl w:val="1"/>
    </w:pPr>
  </w:style>
  <w:style w:type="character" w:default="1" w:styleId="12">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customStyle="1" w:styleId="2">
    <w:name w:val="TableOfAuthoring"/>
    <w:next w:val="1"/>
    <w:qFormat/>
    <w:uiPriority w:val="0"/>
    <w:pPr>
      <w:widowControl w:val="0"/>
      <w:ind w:left="420"/>
      <w:jc w:val="both"/>
    </w:pPr>
    <w:rPr>
      <w:rFonts w:ascii="Times New Roman" w:hAnsi="Times New Roman" w:eastAsia="宋体" w:cs="Times New Roman"/>
      <w:kern w:val="2"/>
      <w:sz w:val="21"/>
      <w:szCs w:val="24"/>
      <w:lang w:val="en-US" w:eastAsia="zh-CN" w:bidi="ar-SA"/>
    </w:rPr>
  </w:style>
  <w:style w:type="paragraph" w:styleId="4">
    <w:name w:val="Normal Indent"/>
    <w:basedOn w:val="1"/>
    <w:next w:val="1"/>
    <w:autoRedefine/>
    <w:qFormat/>
    <w:uiPriority w:val="0"/>
    <w:pPr>
      <w:ind w:firstLine="420" w:firstLineChars="200"/>
    </w:pPr>
  </w:style>
  <w:style w:type="paragraph" w:styleId="5">
    <w:name w:val="Body Text 3"/>
    <w:basedOn w:val="1"/>
    <w:link w:val="19"/>
    <w:autoRedefine/>
    <w:qFormat/>
    <w:uiPriority w:val="0"/>
    <w:pPr>
      <w:widowControl w:val="0"/>
      <w:adjustRightInd/>
      <w:snapToGrid/>
      <w:spacing w:after="120"/>
      <w:jc w:val="both"/>
    </w:pPr>
    <w:rPr>
      <w:rFonts w:ascii="Times New Roman" w:hAnsi="Times New Roman" w:eastAsia="宋体" w:cs="Times New Roman"/>
      <w:kern w:val="2"/>
      <w:sz w:val="16"/>
      <w:szCs w:val="16"/>
    </w:rPr>
  </w:style>
  <w:style w:type="paragraph" w:styleId="6">
    <w:name w:val="Plain Text"/>
    <w:basedOn w:val="1"/>
    <w:link w:val="17"/>
    <w:autoRedefine/>
    <w:qFormat/>
    <w:uiPriority w:val="0"/>
    <w:pPr>
      <w:widowControl w:val="0"/>
      <w:adjustRightInd/>
      <w:snapToGrid/>
      <w:spacing w:after="0" w:line="360" w:lineRule="auto"/>
      <w:ind w:firstLine="480" w:firstLineChars="200"/>
      <w:jc w:val="both"/>
    </w:pPr>
    <w:rPr>
      <w:rFonts w:ascii="仿宋_GB2312" w:hAnsi="Times New Roman" w:eastAsia="宋体" w:cs="Times New Roman"/>
      <w:kern w:val="2"/>
      <w:sz w:val="24"/>
      <w:szCs w:val="20"/>
    </w:rPr>
  </w:style>
  <w:style w:type="paragraph" w:styleId="7">
    <w:name w:val="footer"/>
    <w:basedOn w:val="1"/>
    <w:link w:val="16"/>
    <w:autoRedefine/>
    <w:unhideWhenUsed/>
    <w:qFormat/>
    <w:uiPriority w:val="99"/>
    <w:pPr>
      <w:tabs>
        <w:tab w:val="center" w:pos="4153"/>
        <w:tab w:val="right" w:pos="8306"/>
      </w:tabs>
    </w:pPr>
    <w:rPr>
      <w:sz w:val="18"/>
      <w:szCs w:val="18"/>
    </w:rPr>
  </w:style>
  <w:style w:type="paragraph" w:styleId="8">
    <w:name w:val="header"/>
    <w:basedOn w:val="1"/>
    <w:link w:val="15"/>
    <w:autoRedefine/>
    <w:unhideWhenUsed/>
    <w:qFormat/>
    <w:uiPriority w:val="99"/>
    <w:pPr>
      <w:pBdr>
        <w:bottom w:val="single" w:color="auto" w:sz="6" w:space="1"/>
      </w:pBdr>
      <w:tabs>
        <w:tab w:val="center" w:pos="4153"/>
        <w:tab w:val="right" w:pos="8306"/>
      </w:tabs>
      <w:jc w:val="center"/>
    </w:pPr>
    <w:rPr>
      <w:sz w:val="18"/>
      <w:szCs w:val="18"/>
    </w:rPr>
  </w:style>
  <w:style w:type="paragraph" w:styleId="9">
    <w:name w:val="Normal (Web)"/>
    <w:basedOn w:val="1"/>
    <w:autoRedefine/>
    <w:unhideWhenUsed/>
    <w:qFormat/>
    <w:uiPriority w:val="99"/>
    <w:pPr>
      <w:adjustRightInd/>
      <w:snapToGrid/>
      <w:spacing w:before="100" w:beforeAutospacing="1" w:after="100" w:afterAutospacing="1"/>
    </w:pPr>
    <w:rPr>
      <w:rFonts w:ascii="宋体" w:hAnsi="宋体" w:eastAsia="宋体" w:cs="宋体"/>
      <w:sz w:val="24"/>
      <w:szCs w:val="24"/>
    </w:rPr>
  </w:style>
  <w:style w:type="table" w:styleId="11">
    <w:name w:val="Table Grid"/>
    <w:basedOn w:val="10"/>
    <w:autoRedefine/>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3">
    <w:name w:val="Strong"/>
    <w:autoRedefine/>
    <w:qFormat/>
    <w:uiPriority w:val="99"/>
    <w:rPr>
      <w:b/>
      <w:bCs/>
    </w:rPr>
  </w:style>
  <w:style w:type="character" w:styleId="14">
    <w:name w:val="Hyperlink"/>
    <w:basedOn w:val="12"/>
    <w:autoRedefine/>
    <w:semiHidden/>
    <w:unhideWhenUsed/>
    <w:qFormat/>
    <w:uiPriority w:val="99"/>
    <w:rPr>
      <w:color w:val="0000FF"/>
      <w:u w:val="single"/>
    </w:rPr>
  </w:style>
  <w:style w:type="character" w:customStyle="1" w:styleId="15">
    <w:name w:val="页眉 Char"/>
    <w:basedOn w:val="12"/>
    <w:link w:val="8"/>
    <w:autoRedefine/>
    <w:qFormat/>
    <w:uiPriority w:val="99"/>
    <w:rPr>
      <w:rFonts w:ascii="Tahoma" w:hAnsi="Tahoma"/>
      <w:sz w:val="18"/>
      <w:szCs w:val="18"/>
    </w:rPr>
  </w:style>
  <w:style w:type="character" w:customStyle="1" w:styleId="16">
    <w:name w:val="页脚 Char"/>
    <w:basedOn w:val="12"/>
    <w:link w:val="7"/>
    <w:autoRedefine/>
    <w:qFormat/>
    <w:uiPriority w:val="99"/>
    <w:rPr>
      <w:rFonts w:ascii="Tahoma" w:hAnsi="Tahoma"/>
      <w:sz w:val="18"/>
      <w:szCs w:val="18"/>
    </w:rPr>
  </w:style>
  <w:style w:type="character" w:customStyle="1" w:styleId="17">
    <w:name w:val="纯文本 Char"/>
    <w:basedOn w:val="12"/>
    <w:link w:val="6"/>
    <w:qFormat/>
    <w:uiPriority w:val="0"/>
    <w:rPr>
      <w:rFonts w:ascii="仿宋_GB2312" w:hAnsi="Times New Roman" w:eastAsia="宋体" w:cs="Times New Roman"/>
      <w:kern w:val="2"/>
      <w:sz w:val="24"/>
      <w:szCs w:val="20"/>
    </w:rPr>
  </w:style>
  <w:style w:type="paragraph" w:customStyle="1" w:styleId="18">
    <w:name w:val="Table Paragraph"/>
    <w:basedOn w:val="1"/>
    <w:autoRedefine/>
    <w:qFormat/>
    <w:uiPriority w:val="99"/>
    <w:pPr>
      <w:widowControl w:val="0"/>
      <w:autoSpaceDE w:val="0"/>
      <w:autoSpaceDN w:val="0"/>
      <w:adjustRightInd/>
      <w:snapToGrid/>
      <w:spacing w:after="0"/>
    </w:pPr>
    <w:rPr>
      <w:rFonts w:ascii="宋体" w:hAnsi="宋体" w:eastAsia="宋体" w:cs="宋体"/>
      <w:lang w:eastAsia="en-US"/>
    </w:rPr>
  </w:style>
  <w:style w:type="character" w:customStyle="1" w:styleId="19">
    <w:name w:val="正文文本 3 Char"/>
    <w:basedOn w:val="12"/>
    <w:link w:val="5"/>
    <w:autoRedefine/>
    <w:qFormat/>
    <w:uiPriority w:val="0"/>
    <w:rPr>
      <w:rFonts w:ascii="Times New Roman" w:hAnsi="Times New Roman" w:eastAsia="宋体" w:cs="Times New Roman"/>
      <w:kern w:val="2"/>
      <w:sz w:val="16"/>
      <w:szCs w:val="16"/>
    </w:rPr>
  </w:style>
  <w:style w:type="character" w:customStyle="1" w:styleId="20">
    <w:name w:val="fontstyle01"/>
    <w:basedOn w:val="12"/>
    <w:autoRedefine/>
    <w:qFormat/>
    <w:uiPriority w:val="0"/>
    <w:rPr>
      <w:rFonts w:ascii="仿宋_GB2312" w:hAnsi="仿宋_GB2312" w:eastAsia="仿宋_GB2312" w:cs="仿宋_GB2312"/>
      <w:color w:val="000000"/>
      <w:sz w:val="28"/>
      <w:szCs w:val="28"/>
    </w:rPr>
  </w:style>
  <w:style w:type="paragraph" w:customStyle="1" w:styleId="21">
    <w:name w:val="通知正文"/>
    <w:basedOn w:val="1"/>
    <w:autoRedefine/>
    <w:qFormat/>
    <w:uiPriority w:val="0"/>
    <w:pPr>
      <w:spacing w:line="578" w:lineRule="exact"/>
      <w:ind w:firstLine="640" w:firstLineChars="200"/>
      <w:outlineLvl w:val="9"/>
    </w:pPr>
    <w:rPr>
      <w:rFonts w:hint="eastAsia" w:ascii="宋体" w:hAnsi="宋体" w:eastAsia="方正仿宋_GBK" w:cs="仿宋_GB2312"/>
      <w:kern w:val="2"/>
      <w:sz w:val="32"/>
      <w:szCs w:val="32"/>
      <w:lang w:val="en-US" w:eastAsia="zh-CN" w:bidi="ar-SA"/>
    </w:rPr>
  </w:style>
  <w:style w:type="paragraph" w:customStyle="1" w:styleId="22">
    <w:name w:val="通知标题1"/>
    <w:basedOn w:val="1"/>
    <w:autoRedefine/>
    <w:qFormat/>
    <w:uiPriority w:val="0"/>
    <w:pPr>
      <w:spacing w:line="578" w:lineRule="exact"/>
      <w:ind w:firstLine="640" w:firstLineChars="200"/>
      <w:outlineLvl w:val="0"/>
    </w:pPr>
    <w:rPr>
      <w:rFonts w:hint="eastAsia" w:ascii="Times New Roman" w:hAnsi="Times New Roman" w:eastAsia="方正黑体_GBK" w:cs="黑体"/>
      <w:sz w:val="32"/>
      <w:szCs w:val="32"/>
      <w:lang w:eastAsia="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8B5EE6-0E12-4A7E-9869-0E669E9F0D26}">
  <ds:schemaRefs/>
</ds:datastoreItem>
</file>

<file path=docProps/app.xml><?xml version="1.0" encoding="utf-8"?>
<Properties xmlns="http://schemas.openxmlformats.org/officeDocument/2006/extended-properties" xmlns:vt="http://schemas.openxmlformats.org/officeDocument/2006/docPropsVTypes">
  <Template>Normal</Template>
  <Pages>7</Pages>
  <Words>620</Words>
  <Characters>3537</Characters>
  <Lines>29</Lines>
  <Paragraphs>8</Paragraphs>
  <TotalTime>1</TotalTime>
  <ScaleCrop>false</ScaleCrop>
  <LinksUpToDate>false</LinksUpToDate>
  <CharactersWithSpaces>4149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2021-05-16T23:58:00Z</dcterms:created>
  <dc:creator>Administrator</dc:creator>
  <cp:lastModifiedBy>F.K</cp:lastModifiedBy>
  <cp:lastPrinted>2024-05-10T01:31:00Z</cp:lastPrinted>
  <dcterms:modified xsi:type="dcterms:W3CDTF">2024-05-10T02:41:50Z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A91EC7D337EA47B5B6477D67613BEF5D</vt:lpwstr>
  </property>
</Properties>
</file>