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outlineLvl w:val="0"/>
        <w:rPr>
          <w:rFonts w:hint="eastAsia" w:ascii="Times New Roman" w:hAnsi="Times New Roman" w:eastAsia="方正小标宋_GBK" w:cs="Times New Roman"/>
          <w:kern w:val="44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kern w:val="44"/>
          <w:sz w:val="44"/>
          <w:szCs w:val="44"/>
          <w:lang w:val="en-US" w:eastAsia="zh-CN"/>
        </w:rPr>
        <w:t>江川区河长制办公室</w:t>
      </w:r>
    </w:p>
    <w:p>
      <w:pPr>
        <w:spacing w:line="700" w:lineRule="exact"/>
        <w:jc w:val="center"/>
        <w:outlineLvl w:val="0"/>
        <w:rPr>
          <w:rFonts w:hint="eastAsia" w:ascii="Times New Roman" w:hAnsi="Times New Roman" w:eastAsia="方正小标宋_GBK" w:cs="Times New Roman"/>
          <w:kern w:val="44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方正小标宋_GBK" w:cs="Times New Roman"/>
          <w:kern w:val="44"/>
          <w:sz w:val="44"/>
          <w:szCs w:val="44"/>
          <w:lang w:val="en-US" w:eastAsia="zh-CN"/>
        </w:rPr>
        <w:t>基本情况和先进事迹</w:t>
      </w:r>
    </w:p>
    <w:p>
      <w:pPr>
        <w:pStyle w:val="6"/>
        <w:rPr>
          <w:rFonts w:hint="eastAsia"/>
          <w:lang w:val="en-US" w:eastAsia="zh-CN"/>
        </w:rPr>
      </w:pPr>
    </w:p>
    <w:p>
      <w:pPr>
        <w:spacing w:line="586" w:lineRule="exact"/>
        <w:ind w:firstLine="640" w:firstLineChars="200"/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spacing w:line="586" w:lineRule="exact"/>
        <w:outlineLvl w:val="0"/>
        <w:rPr>
          <w:rFonts w:hint="eastAsia" w:ascii="Times New Roman" w:hAnsi="Times New Roman" w:eastAsia="方正黑体_GBK" w:cs="Times New Roman"/>
          <w:kern w:val="44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 w:cs="Times New Roman"/>
          <w:kern w:val="44"/>
          <w:sz w:val="32"/>
          <w:szCs w:val="32"/>
          <w:lang w:val="en-US" w:eastAsia="zh-CN"/>
        </w:rPr>
        <w:t>基本情况</w:t>
      </w:r>
    </w:p>
    <w:p>
      <w:pPr>
        <w:spacing w:line="586" w:lineRule="exact"/>
        <w:ind w:firstLine="640" w:firstLineChars="200"/>
        <w:rPr>
          <w:sz w:val="28"/>
          <w:szCs w:val="28"/>
        </w:rPr>
      </w:pP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2017年</w:t>
      </w:r>
      <w:r>
        <w:rPr>
          <w:rFonts w:hint="eastAsia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日</w:t>
      </w:r>
      <w:r>
        <w:rPr>
          <w:rFonts w:hint="eastAsia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区委、区政府决定成立玉溪市江川区河长制领导小组</w:t>
      </w:r>
      <w:r>
        <w:rPr>
          <w:rFonts w:hint="eastAsia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，领导小组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下设办公室在区水利局</w:t>
      </w:r>
      <w:r>
        <w:rPr>
          <w:rFonts w:hint="eastAsia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，办公室主任由水利局局长担任，副主任分别由生态环境、水利分管负责同志担任，负责处理日常事务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办公室由5名工作人员组成。区河长办是全面推行河长制的统筹协调机构。具体职能职责是全面承担河长制、组织实施推进工作，负责办理河长会议的日常事务，落实总河长、副总河长、河长确定的事项，负责制订河长制年度工作要点督察督办计划、管理制度和考核办法，负责考核督察的组织实施工作。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2017年、2018年、2019年河湖长制工作被评为市级优秀</w:t>
      </w:r>
      <w:r>
        <w:rPr>
          <w:rFonts w:hint="eastAsia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。</w:t>
      </w:r>
    </w:p>
    <w:p>
      <w:pPr>
        <w:numPr>
          <w:ilvl w:val="0"/>
          <w:numId w:val="1"/>
        </w:numPr>
        <w:spacing w:line="586" w:lineRule="exact"/>
        <w:outlineLvl w:val="0"/>
        <w:rPr>
          <w:rFonts w:hint="default" w:ascii="Times New Roman" w:hAnsi="Times New Roman" w:eastAsia="方正黑体_GBK" w:cs="Times New Roman"/>
          <w:kern w:val="44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 w:cs="Times New Roman"/>
          <w:kern w:val="44"/>
          <w:sz w:val="32"/>
          <w:szCs w:val="32"/>
          <w:lang w:val="en-US" w:eastAsia="zh-CN"/>
        </w:rPr>
        <w:t>主要事迹</w:t>
      </w:r>
    </w:p>
    <w:p>
      <w:pPr>
        <w:spacing w:line="586" w:lineRule="exact"/>
        <w:ind w:firstLine="640" w:firstLineChars="200"/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kern w:val="44"/>
          <w:sz w:val="32"/>
          <w:szCs w:val="32"/>
          <w:lang w:val="en-US" w:eastAsia="zh-CN"/>
        </w:rPr>
        <w:t>（一）扛实河湖责任，河湖长有名又有实。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一是压实各级河湖长责任。设立区、乡、村、组级河（湖）长623名，科学划分河道责任段，建立河道管护“一段一单位”模式。强化河长述职考核应用</w:t>
      </w:r>
      <w:r>
        <w:rPr>
          <w:rFonts w:hint="eastAsia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拍摄并组织河长集中观看《星云湖主要入湖河道污染现状专题片》，以问题为导向，集中开展专项整治，切实增强各级河（湖）长责任感和紧迫感。二是落实河长常态化巡河制度。全面推广云南省河湖长制管理信息系统、云南河长APP，实现区级河长带头巡河、“清四乱”、“清河行动”常态化，“四乱”问题77个，已全部整改销号。三是创新实施河（湖）长派单制。成立区河（湖）保护治理专项督导组，制定下发《河（湖）保护治理专项督导组工作方案》、《玉溪市江川区河（湖）长派单制实施意见（试行）》，累计向各级河长、相关责任单位派发整改通知单</w:t>
      </w:r>
      <w:r>
        <w:rPr>
          <w:rFonts w:hint="eastAsia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61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份，已完成整改5</w:t>
      </w:r>
      <w:r>
        <w:rPr>
          <w:rFonts w:hint="eastAsia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份。四是建立星云湖水质脱劣会商制度，加强星云湖水质监测预警体系建设，及时开展水质脱劣会商，调整和优化应急措施的，做到精准施策、科学治湖。五是建立水质监测通报制度，根据当月河、库水质污染指标变化情况，对河、库水质进行排名，并将排名结果作为河（湖）长履职考核依据。</w:t>
      </w:r>
    </w:p>
    <w:p>
      <w:pPr>
        <w:spacing w:line="586" w:lineRule="exact"/>
        <w:ind w:firstLine="640" w:firstLineChars="200"/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kern w:val="44"/>
          <w:sz w:val="32"/>
          <w:szCs w:val="32"/>
          <w:lang w:val="en-US" w:eastAsia="zh-CN"/>
        </w:rPr>
        <w:t>（二）坚持科学治理，精准谋划治湖方略。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一是始终坚持好规划引领。先后组织编制《星云湖保护和开发利用专项规划（2018—2035年）》、《星云湖保护治理规划（2018—2035年）》等专项规划，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</w:rPr>
        <w:t>《星云湖保护治理攻坚战实施方案》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</w:rPr>
        <w:t>《玉溪市星云湖水体达标三年行动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2020年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</w:rPr>
        <w:t>脱劣应急计划》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等专项工作方案。二是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</w:rPr>
        <w:t>建立“一河（湖）一档”动态台账。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开展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</w:rPr>
        <w:t>条河道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</w:rPr>
        <w:t>座水库“一河一策”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</w:rPr>
        <w:t>一库一策”方案编制工作，完成“一河一档”编制归档工作。</w:t>
      </w:r>
      <w:r>
        <w:rPr>
          <w:rFonts w:hint="eastAsia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2020年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星云湖、大街河</w:t>
      </w:r>
      <w:r>
        <w:rPr>
          <w:rFonts w:hint="eastAsia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、大龙潭河、渔村河、学河、大寨河、旧州河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被评为市级美丽河湖</w:t>
      </w:r>
      <w:r>
        <w:rPr>
          <w:rFonts w:hint="eastAsia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三是加快推进河（湖）长制信息平台建设。逐步建立动态监管系统，实现星云湖动态监管，河（湖）长制管理更加精细化和智能化。</w:t>
      </w:r>
    </w:p>
    <w:p>
      <w:pPr>
        <w:spacing w:line="586" w:lineRule="exact"/>
        <w:ind w:firstLine="640" w:firstLineChars="200"/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kern w:val="44"/>
          <w:sz w:val="32"/>
          <w:szCs w:val="32"/>
          <w:lang w:val="en-US" w:eastAsia="zh-CN"/>
        </w:rPr>
        <w:t>（三）坚持</w:t>
      </w:r>
      <w:r>
        <w:rPr>
          <w:rFonts w:hint="eastAsia" w:ascii="Times New Roman" w:hAnsi="Times New Roman" w:eastAsia="方正楷体_GBK" w:cs="Times New Roman"/>
          <w:kern w:val="44"/>
          <w:sz w:val="32"/>
          <w:szCs w:val="32"/>
          <w:lang w:val="en-US" w:eastAsia="zh-CN"/>
        </w:rPr>
        <w:t>系统</w:t>
      </w:r>
      <w:r>
        <w:rPr>
          <w:rFonts w:hint="default" w:ascii="Times New Roman" w:hAnsi="Times New Roman" w:eastAsia="方正楷体_GBK" w:cs="Times New Roman"/>
          <w:kern w:val="44"/>
          <w:sz w:val="32"/>
          <w:szCs w:val="32"/>
          <w:lang w:val="en-US" w:eastAsia="zh-CN"/>
        </w:rPr>
        <w:t>治理，标本兼治守住水生态底线。</w:t>
      </w:r>
      <w:r>
        <w:rPr>
          <w:rFonts w:hint="eastAsia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一是实施星云湖保护治理“十三五”项目。充分发挥河长办统筹、协调、督办的作用，推动星云湖保护治理“十三五”项目顺利完工，总投资36.97亿元。二是创新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实施星云湖初期雨水处置工程。制定《星云湖初期雨水调度会商制度》、《星云湖初期雨水调度工作规程》，利用环湖截污治污17.37公里生态调蓄带</w:t>
      </w:r>
      <w:r>
        <w:rPr>
          <w:rFonts w:hint="eastAsia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、主要入湖河流湿地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，在沿湖新建和整合农灌泵站16座、初期雨水调度闸门29道，聘请13人专门管理初期雨水调度闸门，防范初期雨水入湖，同时实现了初期雨水、生态调蓄带蓄水循环利用。</w:t>
      </w:r>
      <w:r>
        <w:rPr>
          <w:rFonts w:hint="eastAsia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是实施联合联动执法。完成《云南省星云湖保护条列》修订，抓实各类环保督查反馈问题整改销号工作，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eastAsia="zh-CN"/>
        </w:rPr>
        <w:t>立案调查环境违法违规案件39件，清理复耕地块51.9亩。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</w:rPr>
        <w:t>完成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流域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</w:rPr>
        <w:t>矿山关停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</w:rPr>
        <w:t>座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</w:rPr>
        <w:t>整合重组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</w:rPr>
        <w:t>座，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改造升级2座；封堵各类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</w:rPr>
        <w:t>排污口125个。</w:t>
      </w:r>
    </w:p>
    <w:p>
      <w:pPr>
        <w:spacing w:line="586" w:lineRule="exact"/>
        <w:ind w:firstLine="640" w:firstLineChars="200"/>
        <w:rPr>
          <w:rFonts w:hint="default" w:ascii="Times New Roman" w:hAnsi="Times New Roman" w:eastAsia="方正仿宋_GBK" w:cs="Times New Roman"/>
          <w:kern w:val="44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kern w:val="44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方正楷体_GBK" w:cs="Times New Roman"/>
          <w:kern w:val="44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方正楷体_GBK" w:cs="Times New Roman"/>
          <w:kern w:val="44"/>
          <w:sz w:val="32"/>
          <w:szCs w:val="32"/>
          <w:lang w:val="en-US" w:eastAsia="zh-CN"/>
        </w:rPr>
        <w:t>）坚持全民治理，治管并举打造长效化治理格局。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一是全方位宣传，凝聚治湖最大合力。二是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</w:rPr>
        <w:t>创新实施“高原湖泊卫士”党建联盟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</w:rPr>
        <w:t>成立星云湖联合党委、入湖河段专管、志愿者服务等8支联合党总支、16条星云湖径流区河道联合党支部，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val="en-US" w:eastAsia="zh-CN"/>
        </w:rPr>
        <w:t>推动网格化管理见成效</w:t>
      </w:r>
      <w:r>
        <w:rPr>
          <w:rFonts w:hint="default" w:ascii="Times New Roman" w:hAnsi="Times New Roman" w:eastAsia="方正仿宋_GBK" w:cs="Times New Roman"/>
          <w:kern w:val="44"/>
          <w:sz w:val="32"/>
          <w:szCs w:val="32"/>
          <w:lang w:eastAsia="zh-CN"/>
        </w:rPr>
        <w:t>。</w:t>
      </w:r>
    </w:p>
    <w:p>
      <w:pPr>
        <w:pStyle w:val="6"/>
        <w:rPr>
          <w:rFonts w:hint="eastAsia" w:ascii="Times New Roman" w:hAnsi="Times New Roman" w:eastAsia="方正小标宋_GBK" w:cs="Times New Roman"/>
          <w:kern w:val="44"/>
          <w:sz w:val="44"/>
          <w:szCs w:val="44"/>
          <w:lang w:val="en-US" w:eastAsia="zh-CN"/>
        </w:rPr>
      </w:pPr>
    </w:p>
    <w:p>
      <w:pPr>
        <w:spacing w:line="586" w:lineRule="exact"/>
        <w:rPr>
          <w:rFonts w:ascii="Times New Roman" w:hAnsi="Times New Roman" w:eastAsia="方正仿宋_GBK" w:cs="Times New Roman"/>
          <w:kern w:val="44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MingLiU">
    <w:panose1 w:val="02010609000101010101"/>
    <w:charset w:val="88"/>
    <w:family w:val="modern"/>
    <w:pitch w:val="default"/>
    <w:sig w:usb0="80000001" w:usb1="280918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A51F7"/>
    <w:multiLevelType w:val="multilevel"/>
    <w:tmpl w:val="10CA51F7"/>
    <w:lvl w:ilvl="0" w:tentative="0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70" w:hanging="420"/>
      </w:pPr>
    </w:lvl>
    <w:lvl w:ilvl="2" w:tentative="0">
      <w:start w:val="1"/>
      <w:numFmt w:val="lowerRoman"/>
      <w:lvlText w:val="%3."/>
      <w:lvlJc w:val="right"/>
      <w:pPr>
        <w:ind w:left="1890" w:hanging="420"/>
      </w:pPr>
    </w:lvl>
    <w:lvl w:ilvl="3" w:tentative="0">
      <w:start w:val="1"/>
      <w:numFmt w:val="decimal"/>
      <w:lvlText w:val="%4."/>
      <w:lvlJc w:val="left"/>
      <w:pPr>
        <w:ind w:left="2310" w:hanging="420"/>
      </w:pPr>
    </w:lvl>
    <w:lvl w:ilvl="4" w:tentative="0">
      <w:start w:val="1"/>
      <w:numFmt w:val="lowerLetter"/>
      <w:lvlText w:val="%5)"/>
      <w:lvlJc w:val="left"/>
      <w:pPr>
        <w:ind w:left="2730" w:hanging="420"/>
      </w:pPr>
    </w:lvl>
    <w:lvl w:ilvl="5" w:tentative="0">
      <w:start w:val="1"/>
      <w:numFmt w:val="lowerRoman"/>
      <w:lvlText w:val="%6."/>
      <w:lvlJc w:val="right"/>
      <w:pPr>
        <w:ind w:left="3150" w:hanging="420"/>
      </w:pPr>
    </w:lvl>
    <w:lvl w:ilvl="6" w:tentative="0">
      <w:start w:val="1"/>
      <w:numFmt w:val="decimal"/>
      <w:lvlText w:val="%7."/>
      <w:lvlJc w:val="left"/>
      <w:pPr>
        <w:ind w:left="3570" w:hanging="420"/>
      </w:pPr>
    </w:lvl>
    <w:lvl w:ilvl="7" w:tentative="0">
      <w:start w:val="1"/>
      <w:numFmt w:val="lowerLetter"/>
      <w:lvlText w:val="%8)"/>
      <w:lvlJc w:val="left"/>
      <w:pPr>
        <w:ind w:left="3990" w:hanging="420"/>
      </w:pPr>
    </w:lvl>
    <w:lvl w:ilvl="8" w:tentative="0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6E1321"/>
    <w:rsid w:val="2BD52DD4"/>
    <w:rsid w:val="63FA4227"/>
    <w:rsid w:val="74A8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widowControl w:val="0"/>
      <w:shd w:val="clear" w:color="auto" w:fill="FFFFFF"/>
      <w:spacing w:before="420" w:line="500" w:lineRule="exact"/>
      <w:ind w:firstLine="420" w:firstLineChars="100"/>
      <w:jc w:val="distribute"/>
    </w:pPr>
    <w:rPr>
      <w:rFonts w:ascii="MingLiU" w:hAnsi="Times New Roman" w:eastAsia="MingLiU" w:cs="Times New Roman"/>
      <w:spacing w:val="28"/>
      <w:kern w:val="0"/>
      <w:sz w:val="27"/>
      <w:szCs w:val="27"/>
      <w:lang w:val="en-US" w:eastAsia="zh-CN" w:bidi="ar-SA"/>
    </w:rPr>
  </w:style>
  <w:style w:type="paragraph" w:styleId="3">
    <w:name w:val="Body Text"/>
    <w:basedOn w:val="1"/>
    <w:qFormat/>
    <w:uiPriority w:val="0"/>
    <w:pPr>
      <w:widowControl w:val="0"/>
      <w:shd w:val="clear" w:color="auto" w:fill="FFFFFF"/>
      <w:spacing w:before="420" w:line="500" w:lineRule="exact"/>
      <w:jc w:val="distribute"/>
    </w:pPr>
    <w:rPr>
      <w:rFonts w:ascii="MingLiU" w:hAnsi="Times New Roman" w:eastAsia="MingLiU" w:cs="Times New Roman"/>
      <w:spacing w:val="28"/>
      <w:kern w:val="0"/>
      <w:sz w:val="27"/>
      <w:szCs w:val="27"/>
      <w:lang w:val="en-US" w:eastAsia="zh-CN" w:bidi="ar-SA"/>
    </w:rPr>
  </w:style>
  <w:style w:type="paragraph" w:customStyle="1" w:styleId="6">
    <w:name w:val="正文缩进1"/>
    <w:basedOn w:val="1"/>
    <w:qFormat/>
    <w:uiPriority w:val="0"/>
    <w:pPr>
      <w:snapToGrid w:val="0"/>
      <w:spacing w:line="300" w:lineRule="auto"/>
      <w:ind w:firstLine="556"/>
    </w:pPr>
    <w:rPr>
      <w:rFonts w:ascii="仿宋_GB2312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2020-12-10T02:27:00Z</dcterms:created>
  <dc:creator>Administrator</dc:creator>
  <cp:lastModifiedBy>吴昊</cp:lastModifiedBy>
  <dcterms:modified xsi:type="dcterms:W3CDTF">2020-12-22T05:30:14Z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