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EDA8F">
      <w:pPr>
        <w:jc w:val="center"/>
        <w:rPr>
          <w:rFonts w:hint="eastAsia" w:ascii="方正小标宋_GBK" w:hAnsi="方正小标宋_GBK" w:eastAsia="方正小标宋_GBK" w:cs="方正小标宋_GBK"/>
          <w:b/>
          <w:bCs/>
          <w:sz w:val="44"/>
          <w:szCs w:val="44"/>
          <w:lang w:val="en-US" w:eastAsia="zh-CN"/>
        </w:rPr>
      </w:pPr>
    </w:p>
    <w:p w14:paraId="246BB531">
      <w:pPr>
        <w:jc w:val="center"/>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云南省2024年度先进水利技术（产品）</w:t>
      </w:r>
    </w:p>
    <w:p w14:paraId="02C1B9C9">
      <w:pPr>
        <w:jc w:val="center"/>
        <w:rPr>
          <w:rFonts w:hint="eastAsia" w:ascii="方正小标宋_GBK" w:hAnsi="方正小标宋_GBK" w:eastAsia="方正小标宋_GBK" w:cs="方正小标宋_GBK"/>
          <w:b/>
          <w:bCs/>
          <w:sz w:val="44"/>
          <w:szCs w:val="44"/>
          <w:lang w:val="en-US" w:eastAsia="zh-CN"/>
        </w:rPr>
      </w:pPr>
    </w:p>
    <w:p w14:paraId="28983A81">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_GBK" w:hAnsi="方正小标宋_GBK" w:eastAsia="方正小标宋_GBK" w:cs="方正小标宋_GBK"/>
          <w:b/>
          <w:bCs/>
          <w:sz w:val="52"/>
          <w:szCs w:val="52"/>
          <w:lang w:val="en-US" w:eastAsia="zh-CN"/>
        </w:rPr>
      </w:pPr>
      <w:r>
        <w:rPr>
          <w:rFonts w:hint="eastAsia" w:ascii="方正小标宋_GBK" w:hAnsi="方正小标宋_GBK" w:eastAsia="方正小标宋_GBK" w:cs="方正小标宋_GBK"/>
          <w:b/>
          <w:bCs/>
          <w:sz w:val="52"/>
          <w:szCs w:val="52"/>
          <w:lang w:val="en-US" w:eastAsia="zh-CN"/>
        </w:rPr>
        <w:t>推</w:t>
      </w:r>
    </w:p>
    <w:p w14:paraId="121DCC2A">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_GBK" w:hAnsi="方正小标宋_GBK" w:eastAsia="方正小标宋_GBK" w:cs="方正小标宋_GBK"/>
          <w:b/>
          <w:bCs/>
          <w:sz w:val="52"/>
          <w:szCs w:val="52"/>
          <w:lang w:val="en-US" w:eastAsia="zh-CN"/>
        </w:rPr>
      </w:pPr>
      <w:r>
        <w:rPr>
          <w:rFonts w:hint="eastAsia" w:ascii="方正小标宋_GBK" w:hAnsi="方正小标宋_GBK" w:eastAsia="方正小标宋_GBK" w:cs="方正小标宋_GBK"/>
          <w:b/>
          <w:bCs/>
          <w:sz w:val="52"/>
          <w:szCs w:val="52"/>
          <w:lang w:val="en-US" w:eastAsia="zh-CN"/>
        </w:rPr>
        <w:t>广</w:t>
      </w:r>
    </w:p>
    <w:p w14:paraId="2F6F99AA">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_GBK" w:hAnsi="方正小标宋_GBK" w:eastAsia="方正小标宋_GBK" w:cs="方正小标宋_GBK"/>
          <w:b/>
          <w:bCs/>
          <w:sz w:val="52"/>
          <w:szCs w:val="52"/>
          <w:lang w:val="en-US" w:eastAsia="zh-CN"/>
        </w:rPr>
      </w:pPr>
      <w:r>
        <w:rPr>
          <w:rFonts w:hint="eastAsia" w:ascii="方正小标宋_GBK" w:hAnsi="方正小标宋_GBK" w:eastAsia="方正小标宋_GBK" w:cs="方正小标宋_GBK"/>
          <w:b/>
          <w:bCs/>
          <w:sz w:val="52"/>
          <w:szCs w:val="52"/>
          <w:lang w:val="en-US" w:eastAsia="zh-CN"/>
        </w:rPr>
        <w:t>指</w:t>
      </w:r>
    </w:p>
    <w:p w14:paraId="15E8D09F">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_GBK" w:hAnsi="方正小标宋_GBK" w:eastAsia="方正小标宋_GBK" w:cs="方正小标宋_GBK"/>
          <w:b/>
          <w:bCs/>
          <w:sz w:val="52"/>
          <w:szCs w:val="52"/>
          <w:lang w:val="en-US" w:eastAsia="zh-CN"/>
        </w:rPr>
      </w:pPr>
      <w:r>
        <w:rPr>
          <w:rFonts w:hint="eastAsia" w:ascii="方正小标宋_GBK" w:hAnsi="方正小标宋_GBK" w:eastAsia="方正小标宋_GBK" w:cs="方正小标宋_GBK"/>
          <w:b/>
          <w:bCs/>
          <w:sz w:val="52"/>
          <w:szCs w:val="52"/>
          <w:lang w:val="en-US" w:eastAsia="zh-CN"/>
        </w:rPr>
        <w:t>导</w:t>
      </w:r>
    </w:p>
    <w:p w14:paraId="6AFB01E8">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_GBK" w:hAnsi="方正小标宋_GBK" w:eastAsia="方正小标宋_GBK" w:cs="方正小标宋_GBK"/>
          <w:b/>
          <w:bCs/>
          <w:sz w:val="52"/>
          <w:szCs w:val="52"/>
          <w:lang w:val="en-US" w:eastAsia="zh-CN"/>
        </w:rPr>
      </w:pPr>
      <w:r>
        <w:rPr>
          <w:rFonts w:hint="eastAsia" w:ascii="方正小标宋_GBK" w:hAnsi="方正小标宋_GBK" w:eastAsia="方正小标宋_GBK" w:cs="方正小标宋_GBK"/>
          <w:b/>
          <w:bCs/>
          <w:sz w:val="52"/>
          <w:szCs w:val="52"/>
          <w:lang w:val="en-US" w:eastAsia="zh-CN"/>
        </w:rPr>
        <w:t>目</w:t>
      </w:r>
    </w:p>
    <w:p w14:paraId="3CAD562F">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default" w:ascii="Times New Roman" w:hAnsi="Times New Roman" w:cs="Times New Roman"/>
          <w:b/>
          <w:bCs/>
          <w:sz w:val="52"/>
          <w:szCs w:val="52"/>
          <w:lang w:val="en-US" w:eastAsia="zh-CN"/>
        </w:rPr>
      </w:pPr>
      <w:r>
        <w:rPr>
          <w:rFonts w:hint="eastAsia" w:ascii="方正小标宋_GBK" w:hAnsi="方正小标宋_GBK" w:eastAsia="方正小标宋_GBK" w:cs="方正小标宋_GBK"/>
          <w:b/>
          <w:bCs/>
          <w:sz w:val="52"/>
          <w:szCs w:val="52"/>
          <w:lang w:val="en-US" w:eastAsia="zh-CN"/>
        </w:rPr>
        <w:t>录</w:t>
      </w:r>
    </w:p>
    <w:p w14:paraId="76C0FB85">
      <w:pPr>
        <w:jc w:val="center"/>
        <w:rPr>
          <w:rFonts w:hint="default" w:ascii="Times New Roman" w:hAnsi="Times New Roman" w:cs="Times New Roman"/>
          <w:sz w:val="48"/>
          <w:szCs w:val="48"/>
          <w:lang w:val="en-US" w:eastAsia="zh-CN"/>
        </w:rPr>
      </w:pPr>
    </w:p>
    <w:p w14:paraId="594E71A6">
      <w:pPr>
        <w:jc w:val="center"/>
        <w:rPr>
          <w:rFonts w:hint="default" w:ascii="Times New Roman" w:hAnsi="Times New Roman" w:cs="Times New Roman"/>
          <w:sz w:val="84"/>
          <w:szCs w:val="84"/>
          <w:lang w:val="en-US" w:eastAsia="zh-CN"/>
        </w:rPr>
      </w:pPr>
    </w:p>
    <w:p w14:paraId="1730A821">
      <w:pPr>
        <w:jc w:val="both"/>
        <w:rPr>
          <w:rFonts w:hint="default" w:ascii="Times New Roman" w:hAnsi="Times New Roman" w:cs="Times New Roman"/>
          <w:sz w:val="84"/>
          <w:szCs w:val="84"/>
          <w:lang w:val="en-US" w:eastAsia="zh-CN"/>
        </w:rPr>
      </w:pPr>
    </w:p>
    <w:p w14:paraId="77298001">
      <w:pPr>
        <w:pStyle w:val="2"/>
        <w:rPr>
          <w:rFonts w:hint="default"/>
          <w:lang w:val="en-US" w:eastAsia="zh-CN"/>
        </w:rPr>
      </w:pPr>
    </w:p>
    <w:p w14:paraId="5460E8D3">
      <w:p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发布单位：云南省水利厅</w:t>
      </w:r>
    </w:p>
    <w:p w14:paraId="27D8DB26">
      <w:pPr>
        <w:jc w:val="center"/>
        <w:rPr>
          <w:rFonts w:hint="eastAsia" w:ascii="方正仿宋_GBK" w:hAnsi="方正仿宋_GBK" w:eastAsia="方正仿宋_GBK" w:cs="方正仿宋_GBK"/>
          <w:sz w:val="44"/>
          <w:szCs w:val="44"/>
          <w:lang w:val="en-US" w:eastAsia="zh-CN"/>
        </w:rPr>
      </w:pPr>
      <w:r>
        <w:rPr>
          <w:rFonts w:hint="eastAsia" w:ascii="方正仿宋_GBK" w:hAnsi="方正仿宋_GBK" w:eastAsia="方正仿宋_GBK" w:cs="方正仿宋_GBK"/>
          <w:sz w:val="32"/>
          <w:szCs w:val="32"/>
          <w:lang w:val="en-US" w:eastAsia="zh-CN"/>
        </w:rPr>
        <w:t>发布时间：</w:t>
      </w:r>
      <w:r>
        <w:rPr>
          <w:rFonts w:hint="eastAsia" w:ascii="宋体" w:hAnsi="宋体" w:eastAsia="宋体" w:cs="宋体"/>
          <w:sz w:val="32"/>
          <w:szCs w:val="32"/>
          <w:lang w:val="en-US" w:eastAsia="zh-CN"/>
        </w:rPr>
        <w:t>2024</w:t>
      </w:r>
      <w:r>
        <w:rPr>
          <w:rFonts w:hint="eastAsia" w:ascii="方正仿宋_GBK" w:hAnsi="方正仿宋_GBK" w:eastAsia="方正仿宋_GBK" w:cs="方正仿宋_GBK"/>
          <w:sz w:val="32"/>
          <w:szCs w:val="32"/>
          <w:lang w:val="en-US" w:eastAsia="zh-CN"/>
        </w:rPr>
        <w:t>年</w:t>
      </w:r>
      <w:r>
        <w:rPr>
          <w:rFonts w:hint="eastAsia" w:ascii="宋体" w:hAnsi="宋体" w:eastAsia="宋体" w:cs="宋体"/>
          <w:sz w:val="32"/>
          <w:szCs w:val="32"/>
          <w:lang w:val="en-US" w:eastAsia="zh-CN"/>
        </w:rPr>
        <w:t>11</w:t>
      </w:r>
      <w:r>
        <w:rPr>
          <w:rFonts w:hint="eastAsia" w:ascii="方正仿宋_GBK" w:hAnsi="方正仿宋_GBK" w:eastAsia="方正仿宋_GBK" w:cs="方正仿宋_GBK"/>
          <w:sz w:val="32"/>
          <w:szCs w:val="32"/>
          <w:lang w:val="en-US" w:eastAsia="zh-CN"/>
        </w:rPr>
        <w:t>月</w:t>
      </w:r>
    </w:p>
    <w:p w14:paraId="7F4BEB70">
      <w:pPr>
        <w:jc w:val="center"/>
        <w:rPr>
          <w:rFonts w:hint="default" w:ascii="宋体" w:hAnsi="宋体" w:cs="Times New Roman"/>
          <w:sz w:val="44"/>
          <w:szCs w:val="4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19D3900">
      <w:pPr>
        <w:keepNext w:val="0"/>
        <w:keepLines w:val="0"/>
        <w:pageBreakBefore w:val="0"/>
        <w:widowControl w:val="0"/>
        <w:kinsoku/>
        <w:wordWrap/>
        <w:overflowPunct/>
        <w:topLinePunct w:val="0"/>
        <w:autoSpaceDE/>
        <w:autoSpaceDN/>
        <w:bidi w:val="0"/>
        <w:spacing w:line="460" w:lineRule="exact"/>
        <w:ind w:right="0" w:rightChars="0"/>
        <w:jc w:val="center"/>
        <w:textAlignment w:val="auto"/>
        <w:rPr>
          <w:rFonts w:hint="default" w:ascii="宋体" w:hAnsi="宋体" w:cs="Times New Roman" w:eastAsiaTheme="minorEastAsia"/>
          <w:b/>
          <w:bCs/>
          <w:sz w:val="30"/>
          <w:szCs w:val="30"/>
          <w:lang w:val="en-US" w:eastAsia="zh-CN"/>
        </w:rPr>
      </w:pPr>
      <w:r>
        <w:rPr>
          <w:rFonts w:hint="default" w:ascii="宋体" w:hAnsi="宋体" w:cs="Times New Roman" w:eastAsiaTheme="minorEastAsia"/>
          <w:b/>
          <w:bCs/>
          <w:sz w:val="30"/>
          <w:szCs w:val="30"/>
          <w:lang w:val="en-US" w:eastAsia="zh-CN"/>
        </w:rPr>
        <w:t>目</w:t>
      </w:r>
      <w:r>
        <w:rPr>
          <w:rFonts w:hint="default" w:ascii="宋体" w:hAnsi="宋体" w:cs="Times New Roman"/>
          <w:b/>
          <w:bCs/>
          <w:sz w:val="30"/>
          <w:szCs w:val="30"/>
          <w:lang w:val="en-US" w:eastAsia="zh-CN"/>
        </w:rPr>
        <w:t xml:space="preserve">  </w:t>
      </w:r>
      <w:r>
        <w:rPr>
          <w:rFonts w:hint="default" w:ascii="宋体" w:hAnsi="宋体" w:cs="Times New Roman" w:eastAsiaTheme="minorEastAsia"/>
          <w:b/>
          <w:bCs/>
          <w:sz w:val="30"/>
          <w:szCs w:val="30"/>
          <w:lang w:val="en-US" w:eastAsia="zh-CN"/>
        </w:rPr>
        <w:t>录</w:t>
      </w:r>
    </w:p>
    <w:p w14:paraId="536BF397">
      <w:pPr>
        <w:pStyle w:val="2"/>
        <w:rPr>
          <w:rFonts w:hint="default" w:ascii="宋体" w:hAnsi="宋体" w:cs="Times New Roman"/>
          <w:lang w:val="en-US" w:eastAsia="zh-CN"/>
        </w:rPr>
      </w:pPr>
    </w:p>
    <w:p w14:paraId="28EE34B4">
      <w:pPr>
        <w:pStyle w:val="19"/>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sz w:val="24"/>
          <w:szCs w:val="24"/>
          <w:lang w:val="en-US" w:eastAsia="zh-CN"/>
        </w:rPr>
        <w:fldChar w:fldCharType="begin"/>
      </w:r>
      <w:r>
        <w:rPr>
          <w:rFonts w:hint="eastAsia" w:ascii="方正楷体_GBK" w:hAnsi="方正楷体_GBK" w:eastAsia="方正楷体_GBK" w:cs="方正楷体_GBK"/>
          <w:sz w:val="24"/>
          <w:szCs w:val="24"/>
          <w:lang w:val="en-US" w:eastAsia="zh-CN"/>
        </w:rPr>
        <w:instrText xml:space="preserve">TOC \o "1-2" \h \u </w:instrText>
      </w:r>
      <w:r>
        <w:rPr>
          <w:rFonts w:hint="eastAsia" w:ascii="方正楷体_GBK" w:hAnsi="方正楷体_GBK" w:eastAsia="方正楷体_GBK" w:cs="方正楷体_GBK"/>
          <w:sz w:val="24"/>
          <w:szCs w:val="24"/>
          <w:lang w:val="en-US" w:eastAsia="zh-CN"/>
        </w:rPr>
        <w:fldChar w:fldCharType="separate"/>
      </w:r>
      <w:r>
        <w:rPr>
          <w:rFonts w:hint="eastAsia" w:ascii="方正楷体_GBK" w:hAnsi="方正楷体_GBK" w:eastAsia="方正楷体_GBK" w:cs="方正楷体_GBK"/>
          <w:sz w:val="24"/>
          <w:szCs w:val="24"/>
          <w:lang w:val="en-US" w:eastAsia="zh-CN"/>
        </w:rPr>
        <w:fldChar w:fldCharType="begin"/>
      </w:r>
      <w:r>
        <w:rPr>
          <w:rFonts w:hint="eastAsia" w:ascii="方正楷体_GBK" w:hAnsi="方正楷体_GBK" w:eastAsia="方正楷体_GBK" w:cs="方正楷体_GBK"/>
          <w:sz w:val="24"/>
          <w:szCs w:val="24"/>
          <w:lang w:val="en-US" w:eastAsia="zh-CN"/>
        </w:rPr>
        <w:instrText xml:space="preserve"> HYPERLINK \l _Toc25687 </w:instrText>
      </w:r>
      <w:r>
        <w:rPr>
          <w:rFonts w:hint="eastAsia" w:ascii="方正楷体_GBK" w:hAnsi="方正楷体_GBK" w:eastAsia="方正楷体_GBK" w:cs="方正楷体_GBK"/>
          <w:sz w:val="24"/>
          <w:szCs w:val="24"/>
          <w:lang w:val="en-US" w:eastAsia="zh-CN"/>
        </w:rPr>
        <w:fldChar w:fldCharType="separate"/>
      </w:r>
      <w:r>
        <w:rPr>
          <w:rFonts w:hint="eastAsia" w:ascii="方正楷体_GBK" w:hAnsi="方正楷体_GBK" w:eastAsia="方正楷体_GBK" w:cs="方正楷体_GBK"/>
          <w:sz w:val="24"/>
          <w:szCs w:val="24"/>
          <w:lang w:val="en-US" w:eastAsia="zh-CN"/>
        </w:rPr>
        <w:t>1. 智慧水利信息系统（平台）</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_Toc25687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1</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sz w:val="24"/>
          <w:szCs w:val="24"/>
          <w:lang w:val="en-US" w:eastAsia="zh-CN"/>
        </w:rPr>
        <w:fldChar w:fldCharType="end"/>
      </w:r>
    </w:p>
    <w:p w14:paraId="083C2EA0">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_Toc3899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1.1 真空负压污水系统</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_Toc3899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1</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5BB4C33F">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_Toc29447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1.2 小型水库物业化管理平台</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_Toc29447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7</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6F058C2B">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_Toc27305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1.3 数字孪生湖库水质突发污染推演预警平台</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_Toc27305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9</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0C5BDC29">
      <w:pPr>
        <w:pStyle w:val="19"/>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_Toc26982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 先进计量仪器及设备</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_Toc26982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12</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4B1DA360">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_Toc4145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2.1 高效率脱氮除磷的污水处理设备</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_Toc4145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12</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40E84812">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_Toc30454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2.2 河流泥沙采样成套技术装备及方法</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_Toc30454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14</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06A32662">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_Toc9381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2.3 基于全感物联的一体化全要素野外水文感知基站</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_Toc9381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18</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0527AC22">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_Toc23377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2.4 高精度大量程比DJWM型超声水表、超声流量计及物联网智能水表</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_Toc23377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20</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7EDCC5EF">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_Toc1815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2.5 综合一体式自动化雨量测量系统</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_Toc1815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24</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1E815E6C">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_Toc10133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2.6 智流通便携式走航测流系统</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_Toc10133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28</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2E39F56F">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_Toc24862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2.7 挂载式缆道雷达波测流系统</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_Toc24862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32</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2E0C40B5">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_Toc4137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2.8 数字站点一体化电源系统</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_Toc4137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34</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46830519">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_Toc10758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2.9 一种柱状底泥手动切割装置</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_Toc10758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36</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3DB3C40E">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_Toc31138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2.10 一种多功能水土保持效益评价装置</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_Toc31138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38</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4472862E">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_Toc15523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2.11 一种可防止水土流失的排水渠</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_Toc15523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40</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19B0E65B">
      <w:pPr>
        <w:pStyle w:val="19"/>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_Toc466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3. 先进技术（材料）</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_Toc466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42</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38AEEA62">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_Toc23715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3.1 云南农业水价综合改革关键技术</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_Toc23715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42</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7F681E94">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_Toc3651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3.2 单向排气排水土工膜</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_Toc3651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44</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515CD365">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_Toc12182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3.3 纳米无机水性渗透结晶材料（纳米胶）</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_Toc12182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47</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167479A2">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_Toc29622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3.4 混凝土及金属结构纳硅防护材料</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_Toc29622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50</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1433E5B5">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_Toc3839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3.5 高压脉冲电控淡水壳菜幼虫防治技术</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_Toc3839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54</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39886F4F">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_Toc9813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3.6 分散式农村饮用水铁锰去除技术</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_Toc9813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56</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57BAD160">
      <w:pPr>
        <w:pStyle w:val="19"/>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_Toc1072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4. 信息技术应用</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_Toc1072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58</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543C93AD">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_Toc8378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4.1 基于图像特征增强压缩算法的北斗三号短报文图像传输系统</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_Toc8378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59</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1DF8E806">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_Toc956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4.2 基于北斗4G融合网关的分布式LoRa智能组网技术</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_Toc956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62</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206F517A">
      <w:pPr>
        <w:pStyle w:val="22"/>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rPr>
      </w:pPr>
      <w:r>
        <w:rPr>
          <w:rFonts w:hint="eastAsia" w:ascii="方正楷体_GBK" w:hAnsi="方正楷体_GBK" w:eastAsia="方正楷体_GBK" w:cs="方正楷体_GBK"/>
          <w:kern w:val="2"/>
          <w:sz w:val="24"/>
          <w:szCs w:val="24"/>
          <w:lang w:val="en-US" w:eastAsia="zh-CN" w:bidi="ar-SA"/>
        </w:rPr>
        <w:fldChar w:fldCharType="begin"/>
      </w:r>
      <w:r>
        <w:rPr>
          <w:rFonts w:hint="eastAsia" w:ascii="方正楷体_GBK" w:hAnsi="方正楷体_GBK" w:eastAsia="方正楷体_GBK" w:cs="方正楷体_GBK"/>
          <w:kern w:val="2"/>
          <w:sz w:val="24"/>
          <w:szCs w:val="24"/>
          <w:lang w:val="en-US" w:eastAsia="zh-CN" w:bidi="ar-SA"/>
        </w:rPr>
        <w:instrText xml:space="preserve"> HYPERLINK \l _Toc24577 </w:instrText>
      </w:r>
      <w:r>
        <w:rPr>
          <w:rFonts w:hint="eastAsia" w:ascii="方正楷体_GBK" w:hAnsi="方正楷体_GBK" w:eastAsia="方正楷体_GBK" w:cs="方正楷体_GBK"/>
          <w:kern w:val="2"/>
          <w:sz w:val="24"/>
          <w:szCs w:val="24"/>
          <w:lang w:val="en-US" w:eastAsia="zh-CN" w:bidi="ar-SA"/>
        </w:rPr>
        <w:fldChar w:fldCharType="separate"/>
      </w:r>
      <w:r>
        <w:rPr>
          <w:rFonts w:hint="eastAsia" w:ascii="方正楷体_GBK" w:hAnsi="方正楷体_GBK" w:eastAsia="方正楷体_GBK" w:cs="方正楷体_GBK"/>
          <w:sz w:val="24"/>
          <w:szCs w:val="24"/>
          <w:lang w:val="en-US" w:eastAsia="zh-CN"/>
        </w:rPr>
        <w:t>4.3 M&amp;R高时空分辨率微波测雨技术</w:t>
      </w:r>
      <w:r>
        <w:rPr>
          <w:rFonts w:hint="eastAsia" w:ascii="方正楷体_GBK" w:hAnsi="方正楷体_GBK" w:eastAsia="方正楷体_GBK" w:cs="方正楷体_GBK"/>
          <w:sz w:val="24"/>
          <w:szCs w:val="24"/>
        </w:rPr>
        <w:tab/>
      </w:r>
      <w:r>
        <w:rPr>
          <w:rFonts w:hint="eastAsia" w:ascii="方正楷体_GBK" w:hAnsi="方正楷体_GBK" w:eastAsia="方正楷体_GBK" w:cs="方正楷体_GBK"/>
          <w:sz w:val="24"/>
          <w:szCs w:val="24"/>
        </w:rPr>
        <w:fldChar w:fldCharType="begin"/>
      </w:r>
      <w:r>
        <w:rPr>
          <w:rFonts w:hint="eastAsia" w:ascii="方正楷体_GBK" w:hAnsi="方正楷体_GBK" w:eastAsia="方正楷体_GBK" w:cs="方正楷体_GBK"/>
          <w:sz w:val="24"/>
          <w:szCs w:val="24"/>
        </w:rPr>
        <w:instrText xml:space="preserve"> PAGEREF _Toc24577 \h </w:instrText>
      </w:r>
      <w:r>
        <w:rPr>
          <w:rFonts w:hint="eastAsia" w:ascii="方正楷体_GBK" w:hAnsi="方正楷体_GBK" w:eastAsia="方正楷体_GBK" w:cs="方正楷体_GBK"/>
          <w:sz w:val="24"/>
          <w:szCs w:val="24"/>
        </w:rPr>
        <w:fldChar w:fldCharType="separate"/>
      </w:r>
      <w:r>
        <w:rPr>
          <w:rFonts w:hint="eastAsia" w:ascii="方正楷体_GBK" w:hAnsi="方正楷体_GBK" w:eastAsia="方正楷体_GBK" w:cs="方正楷体_GBK"/>
          <w:sz w:val="24"/>
          <w:szCs w:val="24"/>
        </w:rPr>
        <w:t>65</w:t>
      </w:r>
      <w:r>
        <w:rPr>
          <w:rFonts w:hint="eastAsia" w:ascii="方正楷体_GBK" w:hAnsi="方正楷体_GBK" w:eastAsia="方正楷体_GBK" w:cs="方正楷体_GBK"/>
          <w:sz w:val="24"/>
          <w:szCs w:val="24"/>
        </w:rPr>
        <w:fldChar w:fldCharType="end"/>
      </w:r>
      <w:r>
        <w:rPr>
          <w:rFonts w:hint="eastAsia" w:ascii="方正楷体_GBK" w:hAnsi="方正楷体_GBK" w:eastAsia="方正楷体_GBK" w:cs="方正楷体_GBK"/>
          <w:kern w:val="2"/>
          <w:sz w:val="24"/>
          <w:szCs w:val="24"/>
          <w:lang w:val="en-US" w:eastAsia="zh-CN" w:bidi="ar-SA"/>
        </w:rPr>
        <w:fldChar w:fldCharType="end"/>
      </w:r>
    </w:p>
    <w:p w14:paraId="550E5929">
      <w:pPr>
        <w:pStyle w:val="22"/>
        <w:keepNext w:val="0"/>
        <w:keepLines w:val="0"/>
        <w:pageBreakBefore w:val="0"/>
        <w:widowControl w:val="0"/>
        <w:tabs>
          <w:tab w:val="right" w:leader="dot" w:pos="8306"/>
        </w:tabs>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lang w:val="en-US" w:eastAsia="zh-CN"/>
        </w:rPr>
      </w:pPr>
      <w:r>
        <w:rPr>
          <w:rFonts w:hint="eastAsia" w:ascii="方正楷体_GBK" w:hAnsi="方正楷体_GBK" w:eastAsia="方正楷体_GBK" w:cs="方正楷体_GBK"/>
          <w:kern w:val="2"/>
          <w:sz w:val="24"/>
          <w:szCs w:val="24"/>
          <w:lang w:val="en-US" w:eastAsia="zh-CN" w:bidi="ar-SA"/>
        </w:rPr>
        <w:fldChar w:fldCharType="end"/>
      </w:r>
    </w:p>
    <w:p w14:paraId="2BC043DF">
      <w:pPr>
        <w:pStyle w:val="3"/>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方正楷体_GBK" w:hAnsi="方正楷体_GBK" w:eastAsia="方正楷体_GBK" w:cs="方正楷体_GBK"/>
          <w:sz w:val="24"/>
          <w:szCs w:val="24"/>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F00A094">
      <w:pPr>
        <w:pStyle w:val="3"/>
        <w:keepNext/>
        <w:keepLines/>
        <w:pageBreakBefore w:val="0"/>
        <w:widowControl w:val="0"/>
        <w:numPr>
          <w:ilvl w:val="0"/>
          <w:numId w:val="2"/>
        </w:numPr>
        <w:kinsoku/>
        <w:wordWrap/>
        <w:overflowPunct/>
        <w:topLinePunct w:val="0"/>
        <w:autoSpaceDE/>
        <w:autoSpaceDN/>
        <w:bidi w:val="0"/>
        <w:adjustRightInd/>
        <w:snapToGrid/>
        <w:spacing w:before="0" w:after="0" w:line="360" w:lineRule="auto"/>
        <w:textAlignment w:val="auto"/>
        <w:rPr>
          <w:rFonts w:hint="default" w:ascii="宋体" w:hAnsi="宋体" w:cs="Times New Roman"/>
          <w:sz w:val="28"/>
          <w:szCs w:val="28"/>
          <w:lang w:val="en-US" w:eastAsia="zh-CN"/>
        </w:rPr>
      </w:pPr>
      <w:bookmarkStart w:id="0" w:name="_Toc25687"/>
      <w:r>
        <w:rPr>
          <w:rFonts w:hint="default" w:ascii="宋体" w:hAnsi="宋体" w:cs="Times New Roman"/>
          <w:sz w:val="28"/>
          <w:szCs w:val="28"/>
          <w:lang w:val="en-US" w:eastAsia="zh-CN"/>
        </w:rPr>
        <w:t>智慧水利信息系统（平台）</w:t>
      </w:r>
      <w:bookmarkEnd w:id="0"/>
    </w:p>
    <w:p w14:paraId="05701F9E">
      <w:pPr>
        <w:pStyle w:val="4"/>
        <w:keepNext/>
        <w:keepLines/>
        <w:pageBreakBefore w:val="0"/>
        <w:widowControl w:val="0"/>
        <w:kinsoku/>
        <w:wordWrap/>
        <w:overflowPunct/>
        <w:topLinePunct w:val="0"/>
        <w:autoSpaceDE/>
        <w:autoSpaceDN/>
        <w:bidi w:val="0"/>
        <w:adjustRightInd/>
        <w:snapToGrid/>
        <w:spacing w:before="140" w:after="140" w:line="240" w:lineRule="auto"/>
        <w:textAlignment w:val="auto"/>
        <w:rPr>
          <w:rFonts w:hint="default" w:ascii="宋体" w:hAnsi="宋体" w:cs="Times New Roman"/>
          <w:sz w:val="28"/>
          <w:szCs w:val="28"/>
          <w:lang w:val="en-US" w:eastAsia="zh-CN"/>
        </w:rPr>
      </w:pPr>
      <w:bookmarkStart w:id="1" w:name="_Toc3899"/>
      <w:r>
        <w:rPr>
          <w:rFonts w:hint="default" w:ascii="宋体" w:hAnsi="宋体" w:cs="Times New Roman"/>
          <w:sz w:val="28"/>
          <w:szCs w:val="28"/>
          <w:lang w:val="en-US" w:eastAsia="zh-CN"/>
        </w:rPr>
        <w:t>1.1 真空负压污水系统</w:t>
      </w:r>
      <w:bookmarkEnd w:id="1"/>
    </w:p>
    <w:tbl>
      <w:tblPr>
        <w:tblStyle w:val="28"/>
        <w:tblW w:w="9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134"/>
        <w:gridCol w:w="1332"/>
        <w:gridCol w:w="858"/>
        <w:gridCol w:w="2092"/>
        <w:gridCol w:w="1275"/>
        <w:gridCol w:w="1536"/>
      </w:tblGrid>
      <w:tr w14:paraId="6C30A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20F144C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093" w:type="dxa"/>
            <w:gridSpan w:val="5"/>
            <w:tcMar>
              <w:top w:w="0" w:type="dxa"/>
              <w:left w:w="108" w:type="dxa"/>
              <w:bottom w:w="0" w:type="dxa"/>
              <w:right w:w="108" w:type="dxa"/>
            </w:tcMar>
            <w:vAlign w:val="center"/>
          </w:tcPr>
          <w:p w14:paraId="79ACA4D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真空负压污水系统</w:t>
            </w:r>
          </w:p>
        </w:tc>
      </w:tr>
      <w:tr w14:paraId="6DFD4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2078C99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093" w:type="dxa"/>
            <w:gridSpan w:val="5"/>
            <w:tcMar>
              <w:top w:w="0" w:type="dxa"/>
              <w:left w:w="108" w:type="dxa"/>
              <w:bottom w:w="0" w:type="dxa"/>
              <w:right w:w="108" w:type="dxa"/>
            </w:tcMar>
            <w:vAlign w:val="center"/>
          </w:tcPr>
          <w:p w14:paraId="340F564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苏州中鹿环保设备有限公司</w:t>
            </w:r>
          </w:p>
        </w:tc>
      </w:tr>
      <w:tr w14:paraId="5961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37" w:hRule="atLeast"/>
          <w:jc w:val="center"/>
        </w:trPr>
        <w:tc>
          <w:tcPr>
            <w:tcW w:w="2134" w:type="dxa"/>
            <w:tcMar>
              <w:top w:w="0" w:type="dxa"/>
              <w:left w:w="108" w:type="dxa"/>
              <w:bottom w:w="0" w:type="dxa"/>
              <w:right w:w="108" w:type="dxa"/>
            </w:tcMar>
            <w:vAlign w:val="center"/>
          </w:tcPr>
          <w:p w14:paraId="0A901FB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4282" w:type="dxa"/>
            <w:gridSpan w:val="3"/>
            <w:tcMar>
              <w:top w:w="0" w:type="dxa"/>
              <w:left w:w="108" w:type="dxa"/>
              <w:bottom w:w="0" w:type="dxa"/>
              <w:right w:w="108" w:type="dxa"/>
            </w:tcMar>
            <w:vAlign w:val="center"/>
          </w:tcPr>
          <w:p w14:paraId="085B8DD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昆山市花桥经济开发区绿地大道1555号中科创新广场1号楼B座7楼709室</w:t>
            </w:r>
          </w:p>
        </w:tc>
        <w:tc>
          <w:tcPr>
            <w:tcW w:w="1275" w:type="dxa"/>
            <w:tcMar>
              <w:top w:w="0" w:type="dxa"/>
              <w:left w:w="108" w:type="dxa"/>
              <w:bottom w:w="0" w:type="dxa"/>
              <w:right w:w="108" w:type="dxa"/>
            </w:tcMar>
            <w:vAlign w:val="center"/>
          </w:tcPr>
          <w:p w14:paraId="756F8C2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536" w:type="dxa"/>
            <w:tcMar>
              <w:top w:w="0" w:type="dxa"/>
              <w:left w:w="108" w:type="dxa"/>
              <w:bottom w:w="0" w:type="dxa"/>
              <w:right w:w="108" w:type="dxa"/>
            </w:tcMar>
            <w:vAlign w:val="center"/>
          </w:tcPr>
          <w:p w14:paraId="0C94B27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215300</w:t>
            </w:r>
          </w:p>
        </w:tc>
      </w:tr>
      <w:tr w14:paraId="2382E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238B61A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法人代表</w:t>
            </w:r>
          </w:p>
        </w:tc>
        <w:tc>
          <w:tcPr>
            <w:tcW w:w="1332" w:type="dxa"/>
            <w:tcMar>
              <w:top w:w="0" w:type="dxa"/>
              <w:left w:w="108" w:type="dxa"/>
              <w:bottom w:w="0" w:type="dxa"/>
              <w:right w:w="108" w:type="dxa"/>
            </w:tcMar>
            <w:vAlign w:val="center"/>
          </w:tcPr>
          <w:p w14:paraId="48A3678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古李昌</w:t>
            </w:r>
          </w:p>
        </w:tc>
        <w:tc>
          <w:tcPr>
            <w:tcW w:w="858" w:type="dxa"/>
            <w:tcMar>
              <w:top w:w="0" w:type="dxa"/>
              <w:left w:w="108" w:type="dxa"/>
              <w:bottom w:w="0" w:type="dxa"/>
              <w:right w:w="108" w:type="dxa"/>
            </w:tcMar>
            <w:vAlign w:val="center"/>
          </w:tcPr>
          <w:p w14:paraId="6B5A4D2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职务</w:t>
            </w:r>
          </w:p>
        </w:tc>
        <w:tc>
          <w:tcPr>
            <w:tcW w:w="2092" w:type="dxa"/>
            <w:tcMar>
              <w:top w:w="0" w:type="dxa"/>
              <w:left w:w="108" w:type="dxa"/>
              <w:bottom w:w="0" w:type="dxa"/>
              <w:right w:w="108" w:type="dxa"/>
            </w:tcMar>
            <w:vAlign w:val="center"/>
          </w:tcPr>
          <w:p w14:paraId="293BB62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经理</w:t>
            </w:r>
          </w:p>
        </w:tc>
        <w:tc>
          <w:tcPr>
            <w:tcW w:w="1275" w:type="dxa"/>
            <w:tcMar>
              <w:top w:w="0" w:type="dxa"/>
              <w:left w:w="108" w:type="dxa"/>
              <w:bottom w:w="0" w:type="dxa"/>
              <w:right w:w="108" w:type="dxa"/>
            </w:tcMar>
            <w:vAlign w:val="center"/>
          </w:tcPr>
          <w:p w14:paraId="5C2EEA2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36" w:type="dxa"/>
            <w:tcMar>
              <w:top w:w="0" w:type="dxa"/>
              <w:left w:w="108" w:type="dxa"/>
              <w:bottom w:w="0" w:type="dxa"/>
              <w:right w:w="108" w:type="dxa"/>
            </w:tcMar>
            <w:vAlign w:val="center"/>
          </w:tcPr>
          <w:p w14:paraId="52B480A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p>
        </w:tc>
      </w:tr>
      <w:tr w14:paraId="2767D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78" w:hRule="atLeast"/>
          <w:jc w:val="center"/>
        </w:trPr>
        <w:tc>
          <w:tcPr>
            <w:tcW w:w="2134" w:type="dxa"/>
            <w:tcMar>
              <w:top w:w="0" w:type="dxa"/>
              <w:left w:w="108" w:type="dxa"/>
              <w:bottom w:w="0" w:type="dxa"/>
              <w:right w:w="108" w:type="dxa"/>
            </w:tcMar>
            <w:vAlign w:val="center"/>
          </w:tcPr>
          <w:p w14:paraId="57DBECC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332" w:type="dxa"/>
            <w:tcMar>
              <w:top w:w="0" w:type="dxa"/>
              <w:left w:w="108" w:type="dxa"/>
              <w:bottom w:w="0" w:type="dxa"/>
              <w:right w:w="108" w:type="dxa"/>
            </w:tcMar>
            <w:vAlign w:val="center"/>
          </w:tcPr>
          <w:p w14:paraId="37BB805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侯艳</w:t>
            </w:r>
          </w:p>
          <w:p w14:paraId="0F3142C8">
            <w:pPr>
              <w:pStyle w:val="2"/>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color w:val="auto"/>
                <w:sz w:val="24"/>
                <w:szCs w:val="24"/>
              </w:rPr>
            </w:pPr>
            <w:r>
              <w:rPr>
                <w:rFonts w:hint="default" w:ascii="宋体" w:hAnsi="宋体" w:cs="Times New Roman" w:eastAsiaTheme="minorEastAsia"/>
                <w:color w:val="auto"/>
                <w:sz w:val="24"/>
                <w:szCs w:val="24"/>
              </w:rPr>
              <w:t>洪晓兰</w:t>
            </w:r>
          </w:p>
        </w:tc>
        <w:tc>
          <w:tcPr>
            <w:tcW w:w="858" w:type="dxa"/>
            <w:tcMar>
              <w:top w:w="0" w:type="dxa"/>
              <w:left w:w="108" w:type="dxa"/>
              <w:bottom w:w="0" w:type="dxa"/>
              <w:right w:w="108" w:type="dxa"/>
            </w:tcMar>
            <w:vAlign w:val="center"/>
          </w:tcPr>
          <w:p w14:paraId="31D3970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2092" w:type="dxa"/>
            <w:tcMar>
              <w:top w:w="0" w:type="dxa"/>
              <w:left w:w="108" w:type="dxa"/>
              <w:bottom w:w="0" w:type="dxa"/>
              <w:right w:w="108" w:type="dxa"/>
            </w:tcMar>
            <w:vAlign w:val="center"/>
          </w:tcPr>
          <w:p w14:paraId="43DF0170">
            <w:pPr>
              <w:pStyle w:val="2"/>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color w:val="auto"/>
                <w:sz w:val="24"/>
                <w:szCs w:val="24"/>
                <w:lang w:val="en-US" w:eastAsia="zh-CN"/>
              </w:rPr>
            </w:pPr>
            <w:r>
              <w:rPr>
                <w:rFonts w:hint="eastAsia" w:ascii="宋体" w:hAnsi="宋体" w:cs="Times New Roman" w:eastAsiaTheme="minorEastAsia"/>
                <w:kern w:val="0"/>
                <w:sz w:val="24"/>
                <w:szCs w:val="24"/>
                <w:lang w:val="en-US" w:eastAsia="zh-CN"/>
              </w:rPr>
              <w:t>0512-50131037</w:t>
            </w:r>
          </w:p>
        </w:tc>
        <w:tc>
          <w:tcPr>
            <w:tcW w:w="1275" w:type="dxa"/>
            <w:tcMar>
              <w:top w:w="0" w:type="dxa"/>
              <w:left w:w="108" w:type="dxa"/>
              <w:bottom w:w="0" w:type="dxa"/>
              <w:right w:w="108" w:type="dxa"/>
            </w:tcMar>
            <w:vAlign w:val="center"/>
          </w:tcPr>
          <w:p w14:paraId="02F92C7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536" w:type="dxa"/>
            <w:tcMar>
              <w:top w:w="0" w:type="dxa"/>
              <w:left w:w="108" w:type="dxa"/>
              <w:bottom w:w="0" w:type="dxa"/>
              <w:right w:w="108" w:type="dxa"/>
            </w:tcMar>
            <w:vAlign w:val="center"/>
          </w:tcPr>
          <w:p w14:paraId="5177C90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Style w:val="32"/>
                <w:rFonts w:hint="default" w:ascii="宋体" w:hAnsi="宋体" w:cs="Times New Roman" w:eastAsiaTheme="minorEastAsia"/>
                <w:i w:val="0"/>
                <w:iCs w:val="0"/>
                <w:color w:val="auto"/>
                <w:kern w:val="0"/>
                <w:sz w:val="24"/>
                <w:szCs w:val="24"/>
                <w:u w:val="none"/>
              </w:rPr>
            </w:pPr>
            <w:r>
              <w:rPr>
                <w:rFonts w:hint="default" w:ascii="宋体" w:hAnsi="宋体" w:cs="Times New Roman" w:eastAsiaTheme="minorEastAsia"/>
                <w:i w:val="0"/>
                <w:iCs w:val="0"/>
                <w:color w:val="auto"/>
                <w:sz w:val="24"/>
                <w:szCs w:val="24"/>
                <w:u w:val="none"/>
              </w:rPr>
              <w:fldChar w:fldCharType="begin"/>
            </w:r>
            <w:r>
              <w:rPr>
                <w:rFonts w:hint="default" w:ascii="宋体" w:hAnsi="宋体" w:cs="Times New Roman" w:eastAsiaTheme="minorEastAsia"/>
                <w:i w:val="0"/>
                <w:iCs w:val="0"/>
                <w:color w:val="auto"/>
                <w:sz w:val="24"/>
                <w:szCs w:val="24"/>
                <w:u w:val="none"/>
              </w:rPr>
              <w:instrText xml:space="preserve"> HYPERLINK "mailto:402134971@QQ.Com" </w:instrText>
            </w:r>
            <w:r>
              <w:rPr>
                <w:rFonts w:hint="default" w:ascii="宋体" w:hAnsi="宋体" w:cs="Times New Roman" w:eastAsiaTheme="minorEastAsia"/>
                <w:i w:val="0"/>
                <w:iCs w:val="0"/>
                <w:color w:val="auto"/>
                <w:sz w:val="24"/>
                <w:szCs w:val="24"/>
                <w:u w:val="none"/>
              </w:rPr>
              <w:fldChar w:fldCharType="separate"/>
            </w:r>
            <w:r>
              <w:rPr>
                <w:rStyle w:val="32"/>
                <w:rFonts w:hint="default" w:ascii="宋体" w:hAnsi="宋体" w:cs="Times New Roman" w:eastAsiaTheme="minorEastAsia"/>
                <w:i w:val="0"/>
                <w:iCs w:val="0"/>
                <w:color w:val="auto"/>
                <w:kern w:val="0"/>
                <w:sz w:val="24"/>
                <w:szCs w:val="24"/>
                <w:u w:val="none"/>
              </w:rPr>
              <w:t>402134971@QQ.Com</w:t>
            </w:r>
            <w:r>
              <w:rPr>
                <w:rStyle w:val="32"/>
                <w:rFonts w:hint="default" w:ascii="宋体" w:hAnsi="宋体" w:cs="Times New Roman" w:eastAsiaTheme="minorEastAsia"/>
                <w:i w:val="0"/>
                <w:iCs w:val="0"/>
                <w:color w:val="auto"/>
                <w:kern w:val="0"/>
                <w:sz w:val="24"/>
                <w:szCs w:val="24"/>
                <w:u w:val="none"/>
              </w:rPr>
              <w:fldChar w:fldCharType="end"/>
            </w:r>
          </w:p>
          <w:p w14:paraId="25125AB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sz w:val="24"/>
                <w:szCs w:val="24"/>
              </w:rPr>
            </w:pPr>
            <w:r>
              <w:rPr>
                <w:rStyle w:val="32"/>
                <w:rFonts w:hint="default" w:ascii="宋体" w:hAnsi="宋体" w:cs="Times New Roman" w:eastAsiaTheme="minorEastAsia"/>
                <w:i w:val="0"/>
                <w:iCs w:val="0"/>
                <w:color w:val="auto"/>
                <w:kern w:val="0"/>
                <w:sz w:val="24"/>
                <w:szCs w:val="24"/>
                <w:u w:val="none"/>
              </w:rPr>
              <w:t>191720751@QQ.COM</w:t>
            </w:r>
          </w:p>
        </w:tc>
      </w:tr>
      <w:tr w14:paraId="7E38D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7" w:hRule="atLeast"/>
          <w:jc w:val="center"/>
        </w:trPr>
        <w:tc>
          <w:tcPr>
            <w:tcW w:w="2134" w:type="dxa"/>
            <w:tcMar>
              <w:top w:w="0" w:type="dxa"/>
              <w:left w:w="108" w:type="dxa"/>
              <w:bottom w:w="0" w:type="dxa"/>
              <w:right w:w="108" w:type="dxa"/>
            </w:tcMar>
            <w:vAlign w:val="center"/>
          </w:tcPr>
          <w:p w14:paraId="7D91537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p w14:paraId="7ABB714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简介</w:t>
            </w:r>
          </w:p>
        </w:tc>
        <w:tc>
          <w:tcPr>
            <w:tcW w:w="7093" w:type="dxa"/>
            <w:gridSpan w:val="5"/>
            <w:tcMar>
              <w:top w:w="0" w:type="dxa"/>
              <w:left w:w="108" w:type="dxa"/>
              <w:bottom w:w="0" w:type="dxa"/>
              <w:right w:w="108" w:type="dxa"/>
            </w:tcMar>
            <w:vAlign w:val="center"/>
          </w:tcPr>
          <w:p w14:paraId="0141AF0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苏州中鹿成立于2010年</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至今已有十余年的发展历程</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期间积极推广及发展公司核心技术产品-真空负压污水收集系统</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“中鹿”真空负压排水收集系统技术源自欧、美、日</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因此产品技术与质量均对标国际先进规范</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经营期间技术研发团队拥有包含真空负压排水技术专利的自主知识产权专利70余项</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其成果成功转化达20多项真空负压排水产品</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并取得江苏科技企业的高新技术企业认证。</w:t>
            </w:r>
          </w:p>
          <w:p w14:paraId="665B433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中鹿公司一直致力于污水收集系统领域的研发</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为市政工程及农村地区排水等提供相关真空负压排水收集系统配套解决方案。已服务江苏、浙江、福建等国内多地农村真空排水系统改造，累计已达100余例项目，皆运行优良。</w:t>
            </w:r>
          </w:p>
        </w:tc>
      </w:tr>
      <w:tr w14:paraId="5EB0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1" w:hRule="atLeast"/>
          <w:jc w:val="center"/>
        </w:trPr>
        <w:tc>
          <w:tcPr>
            <w:tcW w:w="2134" w:type="dxa"/>
            <w:shd w:val="clear" w:color="auto" w:fill="auto"/>
            <w:tcMar>
              <w:top w:w="0" w:type="dxa"/>
              <w:left w:w="108" w:type="dxa"/>
              <w:bottom w:w="0" w:type="dxa"/>
              <w:right w:w="108" w:type="dxa"/>
            </w:tcMar>
            <w:vAlign w:val="center"/>
          </w:tcPr>
          <w:p w14:paraId="07DD439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w:t>
            </w:r>
          </w:p>
          <w:p w14:paraId="2C4DC5F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简介</w:t>
            </w:r>
          </w:p>
        </w:tc>
        <w:tc>
          <w:tcPr>
            <w:tcW w:w="7093" w:type="dxa"/>
            <w:gridSpan w:val="5"/>
            <w:shd w:val="clear" w:color="auto" w:fill="auto"/>
            <w:tcMar>
              <w:top w:w="0" w:type="dxa"/>
              <w:left w:w="108" w:type="dxa"/>
              <w:bottom w:w="0" w:type="dxa"/>
              <w:right w:w="108" w:type="dxa"/>
            </w:tcMar>
            <w:vAlign w:val="center"/>
          </w:tcPr>
          <w:p w14:paraId="6563BD0A">
            <w:pPr>
              <w:keepNext w:val="0"/>
              <w:keepLines w:val="0"/>
              <w:pageBreakBefore w:val="0"/>
              <w:widowControl/>
              <w:numPr>
                <w:ilvl w:val="0"/>
                <w:numId w:val="3"/>
              </w:numPr>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kern w:val="0"/>
                <w:sz w:val="24"/>
                <w:szCs w:val="24"/>
              </w:rPr>
            </w:pPr>
            <w:r>
              <w:rPr>
                <w:rFonts w:hint="default" w:ascii="宋体" w:hAnsi="宋体" w:cs="Times New Roman" w:eastAsiaTheme="minorEastAsia"/>
                <w:b/>
                <w:bCs/>
                <w:kern w:val="0"/>
                <w:sz w:val="24"/>
                <w:szCs w:val="24"/>
              </w:rPr>
              <w:t>技术来源</w:t>
            </w:r>
          </w:p>
          <w:p w14:paraId="4719BCFC">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自主研发的技术</w:t>
            </w:r>
          </w:p>
          <w:p w14:paraId="3D2E6D3A">
            <w:pPr>
              <w:keepNext w:val="0"/>
              <w:keepLines w:val="0"/>
              <w:pageBreakBefore w:val="0"/>
              <w:widowControl/>
              <w:numPr>
                <w:ilvl w:val="0"/>
                <w:numId w:val="3"/>
              </w:numPr>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kern w:val="0"/>
                <w:sz w:val="24"/>
                <w:szCs w:val="24"/>
              </w:rPr>
            </w:pPr>
            <w:r>
              <w:rPr>
                <w:rFonts w:hint="default" w:ascii="宋体" w:hAnsi="宋体" w:cs="Times New Roman" w:eastAsiaTheme="minorEastAsia"/>
                <w:b/>
                <w:bCs/>
                <w:kern w:val="0"/>
                <w:sz w:val="24"/>
                <w:szCs w:val="24"/>
              </w:rPr>
              <w:t>真空系统的组成</w:t>
            </w:r>
          </w:p>
          <w:p w14:paraId="64F39CD9">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 xml:space="preserve">    真空</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负压</w:t>
            </w:r>
            <w:r>
              <w:rPr>
                <w:rFonts w:hint="eastAsia" w:ascii="宋体" w:hAnsi="宋体" w:cs="Times New Roman"/>
                <w:kern w:val="0"/>
                <w:sz w:val="24"/>
                <w:szCs w:val="24"/>
                <w:lang w:eastAsia="zh-CN"/>
              </w:rPr>
              <w:t>）</w:t>
            </w:r>
            <w:r>
              <w:rPr>
                <w:rFonts w:hint="default" w:ascii="宋体" w:hAnsi="宋体" w:cs="Times New Roman" w:eastAsiaTheme="minorEastAsia"/>
                <w:kern w:val="0"/>
                <w:sz w:val="24"/>
                <w:szCs w:val="24"/>
              </w:rPr>
              <w:t>排水系统组成包含真空井、真空管路、真空站、物联网等完整的密闭管路系统。</w:t>
            </w:r>
            <w:r>
              <w:rPr>
                <w:rFonts w:hint="default" w:ascii="宋体" w:hAnsi="宋体" w:cs="Times New Roman" w:eastAsiaTheme="minorEastAsia"/>
                <w:kern w:val="0"/>
                <w:sz w:val="24"/>
                <w:szCs w:val="24"/>
              </w:rPr>
              <w:tab/>
            </w:r>
          </w:p>
          <w:p w14:paraId="7B6BC373">
            <w:pPr>
              <w:keepNext w:val="0"/>
              <w:keepLines w:val="0"/>
              <w:pageBreakBefore w:val="0"/>
              <w:widowControl/>
              <w:numPr>
                <w:ilvl w:val="0"/>
                <w:numId w:val="3"/>
              </w:numPr>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spacing w:val="-6"/>
                <w:kern w:val="0"/>
                <w:sz w:val="24"/>
                <w:szCs w:val="24"/>
              </w:rPr>
            </w:pPr>
            <w:r>
              <w:rPr>
                <w:rFonts w:hint="default" w:ascii="宋体" w:hAnsi="宋体" w:cs="Times New Roman" w:eastAsiaTheme="minorEastAsia"/>
                <w:b/>
                <w:bCs/>
                <w:spacing w:val="-6"/>
                <w:kern w:val="0"/>
                <w:sz w:val="24"/>
                <w:szCs w:val="24"/>
              </w:rPr>
              <w:t>技术、产品特点</w:t>
            </w:r>
          </w:p>
          <w:p w14:paraId="51D21624">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spacing w:val="-6"/>
                <w:kern w:val="0"/>
                <w:sz w:val="24"/>
                <w:szCs w:val="24"/>
              </w:rPr>
            </w:pPr>
            <w:r>
              <w:rPr>
                <w:rFonts w:hint="default" w:ascii="宋体" w:hAnsi="宋体" w:cs="Times New Roman" w:eastAsiaTheme="minorEastAsia"/>
                <w:b/>
                <w:bCs/>
                <w:spacing w:val="-6"/>
                <w:kern w:val="0"/>
                <w:sz w:val="24"/>
                <w:szCs w:val="24"/>
              </w:rPr>
              <w:t>1）真空井</w:t>
            </w:r>
          </w:p>
          <w:p w14:paraId="56847133">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无电驱动：无电驱动技术</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不需电力介入</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无须定期更换电池。</w:t>
            </w:r>
          </w:p>
          <w:p w14:paraId="0BCF0AFB">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稳定性高：驱动隔膜不与污水接触稳定性高。</w:t>
            </w:r>
          </w:p>
          <w:p w14:paraId="4458D720">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施工便利</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PE地埋式真空</w:t>
            </w:r>
            <w:r>
              <w:rPr>
                <w:rFonts w:hint="eastAsia" w:ascii="宋体" w:hAnsi="宋体" w:cs="Times New Roman"/>
                <w:spacing w:val="-6"/>
                <w:kern w:val="0"/>
                <w:sz w:val="24"/>
                <w:szCs w:val="24"/>
                <w:lang w:val="en-US" w:eastAsia="zh-CN"/>
              </w:rPr>
              <w:t>井</w:t>
            </w:r>
            <w:r>
              <w:rPr>
                <w:rFonts w:hint="default" w:ascii="宋体" w:hAnsi="宋体" w:cs="Times New Roman" w:eastAsiaTheme="minorEastAsia"/>
                <w:spacing w:val="-6"/>
                <w:kern w:val="0"/>
                <w:sz w:val="24"/>
                <w:szCs w:val="24"/>
              </w:rPr>
              <w:t>具轻便及井深低浅</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100</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130cm深</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特性</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施工</w:t>
            </w:r>
            <w:r>
              <w:rPr>
                <w:rFonts w:hint="eastAsia" w:ascii="宋体" w:hAnsi="宋体" w:cs="Times New Roman"/>
                <w:spacing w:val="-6"/>
                <w:kern w:val="0"/>
                <w:sz w:val="24"/>
                <w:szCs w:val="24"/>
                <w:lang w:val="en-US" w:eastAsia="zh-CN"/>
              </w:rPr>
              <w:t>便</w:t>
            </w:r>
            <w:r>
              <w:rPr>
                <w:rFonts w:hint="default" w:ascii="宋体" w:hAnsi="宋体" w:cs="Times New Roman" w:eastAsiaTheme="minorEastAsia"/>
                <w:spacing w:val="-6"/>
                <w:kern w:val="0"/>
                <w:sz w:val="24"/>
                <w:szCs w:val="24"/>
              </w:rPr>
              <w:t>利。</w:t>
            </w:r>
          </w:p>
          <w:p w14:paraId="3D07A18C">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安全可靠</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 xml:space="preserve"> 真空阀阀板闭合性佳、无污水异物刺破风险。</w:t>
            </w:r>
          </w:p>
          <w:p w14:paraId="702FA01F">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通过性高</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采用先进水后进气的关键技术</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具强能力异物通过不卡物特性，可直接收集厕所、厨房、洗手台等污水污物</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也不需额外设置化粪池、隔油</w:t>
            </w:r>
            <w:r>
              <w:rPr>
                <w:rFonts w:hint="eastAsia" w:ascii="宋体" w:hAnsi="宋体" w:cs="Times New Roman"/>
                <w:spacing w:val="-6"/>
                <w:kern w:val="0"/>
                <w:sz w:val="24"/>
                <w:szCs w:val="24"/>
                <w:lang w:val="en-US" w:eastAsia="zh-CN"/>
              </w:rPr>
              <w:t>井</w:t>
            </w:r>
            <w:r>
              <w:rPr>
                <w:rFonts w:hint="default" w:ascii="宋体" w:hAnsi="宋体" w:cs="Times New Roman" w:eastAsiaTheme="minorEastAsia"/>
                <w:spacing w:val="-6"/>
                <w:kern w:val="0"/>
                <w:sz w:val="24"/>
                <w:szCs w:val="24"/>
              </w:rPr>
              <w:t>或污物隔栅井。</w:t>
            </w:r>
          </w:p>
          <w:p w14:paraId="12167921">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spacing w:val="-6"/>
                <w:kern w:val="0"/>
                <w:sz w:val="24"/>
                <w:szCs w:val="24"/>
              </w:rPr>
            </w:pPr>
            <w:r>
              <w:rPr>
                <w:rFonts w:hint="default" w:ascii="宋体" w:hAnsi="宋体" w:cs="Times New Roman" w:eastAsiaTheme="minorEastAsia"/>
                <w:b/>
                <w:bCs/>
                <w:spacing w:val="-6"/>
                <w:kern w:val="0"/>
                <w:sz w:val="24"/>
                <w:szCs w:val="24"/>
              </w:rPr>
              <w:t>2）真空管路</w:t>
            </w:r>
          </w:p>
          <w:p w14:paraId="05B209D9">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跨沟过桥：真空管路施作具有地下管障物避让及跨沟过桥的特点</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对于未知的地下管线埋设施工具有很大的便利性。</w:t>
            </w:r>
          </w:p>
          <w:p w14:paraId="665FE0F1">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高速输送：采用负压真空吸引方式进行，可保持管中污水流速达3.0至5.0M/sec</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无管道堵塞或流速过慢问题。</w:t>
            </w:r>
          </w:p>
          <w:p w14:paraId="318C2425">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密度系统：无外部地下水渗入及污水无渗出问题，无臭异味发生。</w:t>
            </w:r>
          </w:p>
          <w:p w14:paraId="74008EA6">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浅埋施工：埋设深度为0.5</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1.2m</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无需其</w:t>
            </w:r>
            <w:r>
              <w:rPr>
                <w:rFonts w:hint="eastAsia" w:ascii="宋体" w:hAnsi="宋体" w:cs="Times New Roman"/>
                <w:spacing w:val="-6"/>
                <w:kern w:val="0"/>
                <w:sz w:val="24"/>
                <w:szCs w:val="24"/>
                <w:lang w:val="en-US" w:eastAsia="zh-CN"/>
              </w:rPr>
              <w:t>他</w:t>
            </w:r>
            <w:r>
              <w:rPr>
                <w:rFonts w:hint="default" w:ascii="宋体" w:hAnsi="宋体" w:cs="Times New Roman" w:eastAsiaTheme="minorEastAsia"/>
                <w:spacing w:val="-6"/>
                <w:kern w:val="0"/>
                <w:sz w:val="24"/>
                <w:szCs w:val="24"/>
              </w:rPr>
              <w:t>辅助措施，施工快速且经济。</w:t>
            </w:r>
          </w:p>
          <w:p w14:paraId="7185E838">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spacing w:val="-6"/>
                <w:kern w:val="0"/>
                <w:sz w:val="24"/>
                <w:szCs w:val="24"/>
              </w:rPr>
            </w:pPr>
            <w:r>
              <w:rPr>
                <w:rFonts w:hint="default" w:ascii="宋体" w:hAnsi="宋体" w:cs="Times New Roman" w:eastAsiaTheme="minorEastAsia"/>
                <w:b/>
                <w:bCs/>
                <w:spacing w:val="-6"/>
                <w:kern w:val="0"/>
                <w:sz w:val="24"/>
                <w:szCs w:val="24"/>
              </w:rPr>
              <w:t>3）真空站</w:t>
            </w:r>
          </w:p>
          <w:p w14:paraId="2E278ACE">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eastAsia" w:ascii="宋体" w:hAnsi="宋体" w:cs="Times New Roman"/>
                <w:spacing w:val="-6"/>
                <w:kern w:val="0"/>
                <w:sz w:val="24"/>
                <w:szCs w:val="24"/>
                <w:lang w:eastAsia="zh-CN"/>
              </w:rPr>
              <w:t>占地面积</w:t>
            </w:r>
            <w:r>
              <w:rPr>
                <w:rFonts w:hint="eastAsia" w:ascii="宋体" w:hAnsi="宋体" w:cs="Times New Roman"/>
                <w:spacing w:val="-6"/>
                <w:kern w:val="0"/>
                <w:sz w:val="24"/>
                <w:szCs w:val="24"/>
                <w:lang w:val="en-US" w:eastAsia="zh-CN"/>
              </w:rPr>
              <w:t>小</w:t>
            </w:r>
            <w:r>
              <w:rPr>
                <w:rFonts w:hint="default" w:ascii="宋体" w:hAnsi="宋体" w:cs="Times New Roman" w:eastAsiaTheme="minorEastAsia"/>
                <w:spacing w:val="-6"/>
                <w:kern w:val="0"/>
                <w:sz w:val="24"/>
                <w:szCs w:val="24"/>
              </w:rPr>
              <w:t>：一体集成模块化安装快速、方便、占地面积小约4m2。</w:t>
            </w:r>
          </w:p>
          <w:p w14:paraId="182D10F5">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无需供水：无须</w:t>
            </w:r>
            <w:r>
              <w:rPr>
                <w:rFonts w:hint="eastAsia" w:ascii="宋体" w:hAnsi="宋体" w:cs="Times New Roman"/>
                <w:spacing w:val="-6"/>
                <w:kern w:val="0"/>
                <w:sz w:val="24"/>
                <w:szCs w:val="24"/>
                <w:lang w:eastAsia="zh-CN"/>
              </w:rPr>
              <w:t>自来水水源</w:t>
            </w:r>
            <w:r>
              <w:rPr>
                <w:rFonts w:hint="default" w:ascii="宋体" w:hAnsi="宋体" w:cs="Times New Roman" w:eastAsiaTheme="minorEastAsia"/>
                <w:spacing w:val="-6"/>
                <w:kern w:val="0"/>
                <w:sz w:val="24"/>
                <w:szCs w:val="24"/>
              </w:rPr>
              <w:t>额外提供。</w:t>
            </w:r>
          </w:p>
          <w:p w14:paraId="7A442EA4">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噪音消除：吸音棉布贴且噪音防制设备。</w:t>
            </w:r>
          </w:p>
          <w:p w14:paraId="645FC844">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实时监控：具备完整物联网监控与管理实时。</w:t>
            </w:r>
          </w:p>
          <w:p w14:paraId="0210CAAC">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集成一体化设计：内外钢槽、设备管道及电气整合制作。</w:t>
            </w:r>
          </w:p>
          <w:p w14:paraId="06EEAEBB">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复联设置</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 xml:space="preserve"> 真空泵、污水泵及液位计采复联设置</w:t>
            </w:r>
            <w:r>
              <w:rPr>
                <w:rFonts w:hint="eastAsia" w:ascii="宋体" w:hAnsi="宋体" w:cs="Times New Roman"/>
                <w:spacing w:val="-6"/>
                <w:kern w:val="0"/>
                <w:sz w:val="24"/>
                <w:szCs w:val="24"/>
                <w:lang w:eastAsia="zh-CN"/>
              </w:rPr>
              <w:t>。</w:t>
            </w:r>
          </w:p>
          <w:p w14:paraId="00A57555">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spacing w:val="-6"/>
                <w:kern w:val="0"/>
                <w:sz w:val="24"/>
                <w:szCs w:val="24"/>
              </w:rPr>
            </w:pPr>
            <w:r>
              <w:rPr>
                <w:rFonts w:hint="default" w:ascii="宋体" w:hAnsi="宋体" w:cs="Times New Roman" w:eastAsiaTheme="minorEastAsia"/>
                <w:b/>
                <w:bCs/>
                <w:spacing w:val="-6"/>
                <w:kern w:val="0"/>
                <w:sz w:val="24"/>
                <w:szCs w:val="24"/>
              </w:rPr>
              <w:t>4）物联网</w:t>
            </w:r>
          </w:p>
          <w:p w14:paraId="7E7EC13D">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真空站人机图形界面</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 xml:space="preserve"> 人机图形方便易懂、参数及曲线随时手机</w:t>
            </w:r>
          </w:p>
          <w:p w14:paraId="1301BC8D">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与管理中心管</w:t>
            </w:r>
            <w:r>
              <w:rPr>
                <w:rFonts w:hint="eastAsia" w:ascii="宋体" w:hAnsi="宋体" w:cs="Times New Roman"/>
                <w:spacing w:val="-6"/>
                <w:kern w:val="0"/>
                <w:sz w:val="24"/>
                <w:szCs w:val="24"/>
                <w:lang w:val="en-US" w:eastAsia="zh-CN"/>
              </w:rPr>
              <w:t>控</w:t>
            </w:r>
            <w:r>
              <w:rPr>
                <w:rFonts w:hint="default" w:ascii="宋体" w:hAnsi="宋体" w:cs="Times New Roman" w:eastAsiaTheme="minorEastAsia"/>
                <w:spacing w:val="-6"/>
                <w:kern w:val="0"/>
                <w:sz w:val="24"/>
                <w:szCs w:val="24"/>
              </w:rPr>
              <w:t>。</w:t>
            </w:r>
          </w:p>
          <w:p w14:paraId="72BFA84A">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 xml:space="preserve">    采用省电传输技术：真空井采NB无线传输，电池寿命3年</w:t>
            </w:r>
          </w:p>
          <w:p w14:paraId="3EE07E06">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以上。</w:t>
            </w:r>
          </w:p>
          <w:p w14:paraId="47EC09B6">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真空井RTU集成传输器</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 xml:space="preserve"> 整合RTU+电池组+水密外壳，一体化设计。</w:t>
            </w:r>
          </w:p>
          <w:p w14:paraId="60988A71">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全国项目信息24小时监控</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信息管理中心监控大屏实时显示</w:t>
            </w:r>
          </w:p>
          <w:p w14:paraId="70026A0D">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t>纪录与控管。</w:t>
            </w:r>
          </w:p>
          <w:p w14:paraId="74A9CE4A">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spacing w:val="-6"/>
                <w:kern w:val="0"/>
                <w:sz w:val="24"/>
                <w:szCs w:val="24"/>
              </w:rPr>
            </w:pPr>
            <w:r>
              <w:rPr>
                <w:rFonts w:hint="default" w:ascii="宋体" w:hAnsi="宋体" w:cs="Times New Roman" w:eastAsiaTheme="minorEastAsia"/>
                <w:b/>
                <w:bCs/>
                <w:spacing w:val="-6"/>
                <w:kern w:val="0"/>
                <w:sz w:val="24"/>
                <w:szCs w:val="24"/>
              </w:rPr>
              <w:t>四、产品功能</w:t>
            </w:r>
          </w:p>
          <w:p w14:paraId="3D0DF6E8">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b/>
                <w:bCs/>
                <w:spacing w:val="-6"/>
                <w:kern w:val="0"/>
                <w:sz w:val="24"/>
                <w:szCs w:val="24"/>
              </w:rPr>
              <w:t>1）真空井</w:t>
            </w:r>
            <w:r>
              <w:rPr>
                <w:rFonts w:hint="default" w:ascii="宋体" w:hAnsi="宋体" w:cs="Times New Roman" w:eastAsiaTheme="minorEastAsia"/>
                <w:spacing w:val="-6"/>
                <w:kern w:val="0"/>
                <w:sz w:val="24"/>
                <w:szCs w:val="24"/>
              </w:rPr>
              <w:t>：真空负压井是真空负压系统中接近用户端的污水收集输送设施住户污排水采重力排水至建筑物外不经化粪池拦污就可直排至真空井内</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当井内污水到达一定水位时</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无需电力驱动开启真空阀</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引入真空吸力进行抽排水将污水自动排入真空排水管路内。</w:t>
            </w:r>
          </w:p>
          <w:p w14:paraId="11F74D66">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b/>
                <w:bCs/>
                <w:spacing w:val="-6"/>
                <w:kern w:val="0"/>
                <w:sz w:val="24"/>
                <w:szCs w:val="24"/>
              </w:rPr>
              <w:t>2）真空管路：</w:t>
            </w:r>
            <w:r>
              <w:rPr>
                <w:rFonts w:hint="default" w:ascii="宋体" w:hAnsi="宋体" w:cs="Times New Roman" w:eastAsiaTheme="minorEastAsia"/>
                <w:spacing w:val="-6"/>
                <w:kern w:val="0"/>
                <w:sz w:val="24"/>
                <w:szCs w:val="24"/>
              </w:rPr>
              <w:t>负压污水收集管采用PVC或HDPE等材质</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尺寸通常为4”、6”、8”和10”</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并以真空渠道配管方式将收集管路配设往真空站。</w:t>
            </w:r>
          </w:p>
          <w:p w14:paraId="7BE28982">
            <w:pPr>
              <w:keepNext w:val="0"/>
              <w:keepLines w:val="0"/>
              <w:pageBreakBefore w:val="0"/>
              <w:widowControl/>
              <w:tabs>
                <w:tab w:val="center" w:pos="3402"/>
              </w:tabs>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b/>
                <w:bCs/>
                <w:spacing w:val="-6"/>
                <w:kern w:val="0"/>
                <w:sz w:val="24"/>
                <w:szCs w:val="24"/>
              </w:rPr>
              <w:t>3）真空站</w:t>
            </w:r>
            <w:r>
              <w:rPr>
                <w:rFonts w:hint="default" w:ascii="宋体" w:hAnsi="宋体" w:cs="Times New Roman" w:eastAsiaTheme="minorEastAsia"/>
                <w:spacing w:val="-6"/>
                <w:kern w:val="0"/>
                <w:sz w:val="24"/>
                <w:szCs w:val="24"/>
              </w:rPr>
              <w:t>：真空站位于整个真空</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负压</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排水系统核心</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可于收集区半径3公里范围内设一座真空站即可解决所有污水收集需求</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真空泵站中的真空泵使管道内维持在45~60kpa的负压，污水将以4</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5m/s的速度通过真空管道进入真空泵站中的真空罐。</w:t>
            </w:r>
          </w:p>
          <w:p w14:paraId="45AE7D7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b/>
                <w:bCs/>
                <w:spacing w:val="-6"/>
                <w:kern w:val="0"/>
                <w:sz w:val="24"/>
                <w:szCs w:val="24"/>
              </w:rPr>
              <w:t>4）物联网：</w:t>
            </w:r>
            <w:r>
              <w:rPr>
                <w:rFonts w:hint="default" w:ascii="宋体" w:hAnsi="宋体" w:cs="Times New Roman" w:eastAsiaTheme="minorEastAsia"/>
                <w:spacing w:val="-6"/>
                <w:kern w:val="0"/>
                <w:sz w:val="24"/>
                <w:szCs w:val="24"/>
              </w:rPr>
              <w:t>真空系统内各真空井与真空站内设施运转情形以无线传输物联网方式作云端管理</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让管理人员随时做掌控智能化管理。</w:t>
            </w:r>
          </w:p>
          <w:p w14:paraId="0E3A88E7">
            <w:pPr>
              <w:keepNext w:val="0"/>
              <w:keepLines w:val="0"/>
              <w:pageBreakBefore w:val="0"/>
              <w:widowControl/>
              <w:numPr>
                <w:ilvl w:val="0"/>
                <w:numId w:val="4"/>
              </w:numPr>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spacing w:val="-6"/>
                <w:kern w:val="0"/>
                <w:sz w:val="24"/>
                <w:szCs w:val="24"/>
              </w:rPr>
            </w:pPr>
            <w:r>
              <w:rPr>
                <w:rFonts w:hint="default" w:ascii="宋体" w:hAnsi="宋体" w:cs="Times New Roman" w:eastAsiaTheme="minorEastAsia"/>
                <w:b/>
                <w:bCs/>
                <w:spacing w:val="-6"/>
                <w:kern w:val="0"/>
                <w:sz w:val="24"/>
                <w:szCs w:val="24"/>
              </w:rPr>
              <w:t>指标</w:t>
            </w:r>
          </w:p>
          <w:p w14:paraId="4E1AD5B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pacing w:val="-6"/>
                <w:kern w:val="0"/>
                <w:sz w:val="24"/>
                <w:szCs w:val="24"/>
                <w:highlight w:val="yellow"/>
              </w:rPr>
            </w:pPr>
            <w:r>
              <w:rPr>
                <w:rFonts w:hint="default" w:ascii="宋体" w:hAnsi="宋体" w:cs="Times New Roman" w:eastAsiaTheme="minorEastAsia"/>
                <w:spacing w:val="-6"/>
                <w:kern w:val="0"/>
                <w:sz w:val="24"/>
                <w:szCs w:val="24"/>
              </w:rPr>
              <w:t xml:space="preserve">     中国工程建设协会标准：室外真空排水系统工程技术规程</w:t>
            </w:r>
            <w:r>
              <w:rPr>
                <w:rFonts w:hint="eastAsia" w:ascii="宋体" w:hAnsi="宋体" w:cs="Times New Roman"/>
                <w:spacing w:val="-6"/>
                <w:kern w:val="0"/>
                <w:sz w:val="24"/>
                <w:szCs w:val="24"/>
                <w:lang w:eastAsia="zh-CN"/>
              </w:rPr>
              <w:t>－</w:t>
            </w:r>
            <w:r>
              <w:rPr>
                <w:rFonts w:hint="default" w:ascii="宋体" w:hAnsi="宋体" w:cs="Times New Roman" w:eastAsiaTheme="minorEastAsia"/>
                <w:spacing w:val="-6"/>
                <w:kern w:val="0"/>
                <w:sz w:val="24"/>
                <w:szCs w:val="24"/>
              </w:rPr>
              <w:t>-CECS 316 :2012</w:t>
            </w:r>
          </w:p>
        </w:tc>
      </w:tr>
      <w:tr w14:paraId="40D5F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78" w:hRule="atLeast"/>
          <w:jc w:val="center"/>
        </w:trPr>
        <w:tc>
          <w:tcPr>
            <w:tcW w:w="2134" w:type="dxa"/>
            <w:tcMar>
              <w:top w:w="0" w:type="dxa"/>
              <w:left w:w="108" w:type="dxa"/>
              <w:bottom w:w="0" w:type="dxa"/>
              <w:right w:w="108" w:type="dxa"/>
            </w:tcMar>
            <w:vAlign w:val="center"/>
          </w:tcPr>
          <w:p w14:paraId="0D9F72C0">
            <w:pPr>
              <w:keepNext w:val="0"/>
              <w:keepLines w:val="0"/>
              <w:pageBreakBefore w:val="0"/>
              <w:widowControl/>
              <w:kinsoku/>
              <w:wordWrap/>
              <w:overflowPunct/>
              <w:topLinePunct w:val="0"/>
              <w:bidi w:val="0"/>
              <w:adjustRightInd w:val="0"/>
              <w:snapToGrid w:val="0"/>
              <w:spacing w:beforeAutospacing="0" w:afterAutospacing="0" w:line="240" w:lineRule="auto"/>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主要完成人</w:t>
            </w:r>
          </w:p>
        </w:tc>
        <w:tc>
          <w:tcPr>
            <w:tcW w:w="7093" w:type="dxa"/>
            <w:gridSpan w:val="5"/>
            <w:tcMar>
              <w:top w:w="0" w:type="dxa"/>
              <w:left w:w="108" w:type="dxa"/>
              <w:bottom w:w="0" w:type="dxa"/>
              <w:right w:w="108" w:type="dxa"/>
            </w:tcMar>
            <w:vAlign w:val="center"/>
          </w:tcPr>
          <w:p w14:paraId="3D34B8C7">
            <w:pPr>
              <w:keepNext w:val="0"/>
              <w:keepLines w:val="0"/>
              <w:pageBreakBefore w:val="0"/>
              <w:widowControl/>
              <w:kinsoku/>
              <w:wordWrap/>
              <w:overflowPunct/>
              <w:topLinePunct w:val="0"/>
              <w:bidi w:val="0"/>
              <w:adjustRightInd w:val="0"/>
              <w:snapToGrid w:val="0"/>
              <w:spacing w:beforeAutospacing="0" w:afterAutospacing="0" w:line="240" w:lineRule="auto"/>
              <w:ind w:left="0" w:firstLine="0" w:firstLineChars="0"/>
              <w:jc w:val="left"/>
              <w:textAlignment w:val="auto"/>
              <w:rPr>
                <w:rFonts w:hint="default" w:ascii="宋体" w:hAnsi="宋体" w:cs="Times New Roman" w:eastAsiaTheme="minorEastAsia"/>
                <w:spacing w:val="-6"/>
                <w:kern w:val="0"/>
                <w:sz w:val="24"/>
                <w:szCs w:val="24"/>
              </w:rPr>
            </w:pPr>
            <w:r>
              <w:rPr>
                <w:rFonts w:hint="default" w:ascii="宋体" w:hAnsi="宋体" w:cs="Times New Roman" w:eastAsiaTheme="minorEastAsia"/>
                <w:spacing w:val="-6"/>
                <w:kern w:val="0"/>
                <w:sz w:val="24"/>
                <w:szCs w:val="24"/>
              </w:rPr>
              <w:drawing>
                <wp:inline distT="0" distB="0" distL="114300" distR="114300">
                  <wp:extent cx="3769360" cy="2484120"/>
                  <wp:effectExtent l="0" t="0" r="0" b="0"/>
                  <wp:docPr id="2" name="图片 2" descr="03a4a7b796a780a2604966f6d529d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3a4a7b796a780a2604966f6d529d5c"/>
                          <pic:cNvPicPr>
                            <a:picLocks noChangeAspect="1"/>
                          </pic:cNvPicPr>
                        </pic:nvPicPr>
                        <pic:blipFill>
                          <a:blip r:embed="rId6"/>
                          <a:stretch>
                            <a:fillRect/>
                          </a:stretch>
                        </pic:blipFill>
                        <pic:spPr>
                          <a:xfrm>
                            <a:off x="0" y="0"/>
                            <a:ext cx="3769360" cy="2484120"/>
                          </a:xfrm>
                          <a:prstGeom prst="rect">
                            <a:avLst/>
                          </a:prstGeom>
                        </pic:spPr>
                      </pic:pic>
                    </a:graphicData>
                  </a:graphic>
                </wp:inline>
              </w:drawing>
            </w:r>
          </w:p>
        </w:tc>
      </w:tr>
      <w:tr w14:paraId="4C0A7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2134" w:type="dxa"/>
            <w:tcMar>
              <w:top w:w="0" w:type="dxa"/>
              <w:left w:w="108" w:type="dxa"/>
              <w:bottom w:w="0" w:type="dxa"/>
              <w:right w:w="108" w:type="dxa"/>
            </w:tcMar>
            <w:vAlign w:val="center"/>
          </w:tcPr>
          <w:p w14:paraId="5E43B455">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093" w:type="dxa"/>
            <w:gridSpan w:val="5"/>
            <w:tcMar>
              <w:top w:w="0" w:type="dxa"/>
              <w:left w:w="108" w:type="dxa"/>
              <w:bottom w:w="0" w:type="dxa"/>
              <w:right w:w="108" w:type="dxa"/>
            </w:tcMar>
            <w:vAlign w:val="center"/>
          </w:tcPr>
          <w:p w14:paraId="6F8665A7">
            <w:pPr>
              <w:keepNext w:val="0"/>
              <w:keepLines w:val="0"/>
              <w:pageBreakBefore w:val="0"/>
              <w:widowControl/>
              <w:numPr>
                <w:ilvl w:val="0"/>
                <w:numId w:val="5"/>
              </w:numPr>
              <w:kinsoku/>
              <w:wordWrap/>
              <w:overflowPunct/>
              <w:topLinePunct w:val="0"/>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kern w:val="0"/>
                <w:sz w:val="24"/>
                <w:szCs w:val="24"/>
              </w:rPr>
            </w:pPr>
            <w:r>
              <w:rPr>
                <w:rFonts w:hint="default" w:ascii="宋体" w:hAnsi="宋体" w:cs="Times New Roman" w:eastAsiaTheme="minorEastAsia"/>
                <w:b/>
                <w:bCs/>
                <w:kern w:val="0"/>
                <w:sz w:val="24"/>
                <w:szCs w:val="24"/>
              </w:rPr>
              <w:t>发明专利</w:t>
            </w:r>
          </w:p>
          <w:p w14:paraId="08AF09CA">
            <w:pPr>
              <w:pStyle w:val="2"/>
              <w:keepNext w:val="0"/>
              <w:keepLines w:val="0"/>
              <w:pageBreakBefore w:val="0"/>
              <w:numPr>
                <w:ilvl w:val="0"/>
                <w:numId w:val="6"/>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加压气浮系统的自清式高压释气阀装置</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专利号：ZL 2020 1 0097993.4</w:t>
            </w:r>
          </w:p>
          <w:p w14:paraId="2D9BAC84">
            <w:pPr>
              <w:pStyle w:val="2"/>
              <w:keepNext w:val="0"/>
              <w:keepLines w:val="0"/>
              <w:pageBreakBefore w:val="0"/>
              <w:numPr>
                <w:ilvl w:val="0"/>
                <w:numId w:val="6"/>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一种高效污水处理设备，专利号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 2019 11179481.6</w:t>
            </w:r>
          </w:p>
          <w:p w14:paraId="0F45BE06">
            <w:pPr>
              <w:pStyle w:val="2"/>
              <w:keepNext w:val="0"/>
              <w:keepLines w:val="0"/>
              <w:pageBreakBefore w:val="0"/>
              <w:numPr>
                <w:ilvl w:val="0"/>
                <w:numId w:val="6"/>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一种刮渣机用浮渣除水系统，专利号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ZL202010419877.X</w:t>
            </w:r>
          </w:p>
          <w:p w14:paraId="64A4B226">
            <w:pPr>
              <w:pStyle w:val="2"/>
              <w:keepNext w:val="0"/>
              <w:keepLines w:val="0"/>
              <w:pageBreakBefore w:val="0"/>
              <w:numPr>
                <w:ilvl w:val="0"/>
                <w:numId w:val="6"/>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一种污水分离环保处理装置，专利号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ZL201810328892.6</w:t>
            </w:r>
          </w:p>
          <w:p w14:paraId="61AF375A">
            <w:pPr>
              <w:keepNext w:val="0"/>
              <w:keepLines w:val="0"/>
              <w:pageBreakBefore w:val="0"/>
              <w:widowControl/>
              <w:numPr>
                <w:ilvl w:val="0"/>
                <w:numId w:val="5"/>
              </w:numPr>
              <w:kinsoku/>
              <w:wordWrap/>
              <w:overflowPunct/>
              <w:topLinePunct w:val="0"/>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b/>
                <w:bCs/>
                <w:kern w:val="0"/>
                <w:sz w:val="24"/>
                <w:szCs w:val="24"/>
              </w:rPr>
            </w:pPr>
            <w:r>
              <w:rPr>
                <w:rFonts w:hint="default" w:ascii="宋体" w:hAnsi="宋体" w:cs="Times New Roman" w:eastAsiaTheme="minorEastAsia"/>
                <w:b/>
                <w:bCs/>
                <w:kern w:val="0"/>
                <w:sz w:val="24"/>
                <w:szCs w:val="24"/>
              </w:rPr>
              <w:t>实用型专利</w:t>
            </w:r>
          </w:p>
          <w:p w14:paraId="03FECAB6">
            <w:pPr>
              <w:pStyle w:val="2"/>
              <w:keepNext w:val="0"/>
              <w:keepLines w:val="0"/>
              <w:pageBreakBefore w:val="0"/>
              <w:numPr>
                <w:ilvl w:val="0"/>
                <w:numId w:val="7"/>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具有整流结构的真空负压储水桶，专利号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ZL201822224670.8</w:t>
            </w:r>
          </w:p>
          <w:p w14:paraId="14E061A9">
            <w:pPr>
              <w:pStyle w:val="2"/>
              <w:keepNext w:val="0"/>
              <w:keepLines w:val="0"/>
              <w:pageBreakBefore w:val="0"/>
              <w:numPr>
                <w:ilvl w:val="0"/>
                <w:numId w:val="7"/>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全通量真空隔膜阀，专利号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ZL2022 21168761.4</w:t>
            </w:r>
          </w:p>
          <w:p w14:paraId="527D9F92">
            <w:pPr>
              <w:pStyle w:val="2"/>
              <w:keepNext w:val="0"/>
              <w:keepLines w:val="0"/>
              <w:pageBreakBefore w:val="0"/>
              <w:numPr>
                <w:ilvl w:val="0"/>
                <w:numId w:val="7"/>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微型负压抽排水装置，专利号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ZL201822224964.0</w:t>
            </w:r>
          </w:p>
          <w:p w14:paraId="7179CE76">
            <w:pPr>
              <w:pStyle w:val="2"/>
              <w:keepNext w:val="0"/>
              <w:keepLines w:val="0"/>
              <w:pageBreakBefore w:val="0"/>
              <w:numPr>
                <w:ilvl w:val="0"/>
                <w:numId w:val="7"/>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污水负压收集井，专利号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 2020 2 0099705.4</w:t>
            </w:r>
          </w:p>
          <w:p w14:paraId="651F9DA0">
            <w:pPr>
              <w:pStyle w:val="2"/>
              <w:keepNext w:val="0"/>
              <w:keepLines w:val="0"/>
              <w:pageBreakBefore w:val="0"/>
              <w:numPr>
                <w:ilvl w:val="0"/>
                <w:numId w:val="7"/>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一种自动排水真空负压站，专利号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ZL2022 20100000.9</w:t>
            </w:r>
          </w:p>
          <w:p w14:paraId="3E2A516F">
            <w:pPr>
              <w:pStyle w:val="2"/>
              <w:keepNext w:val="0"/>
              <w:keepLines w:val="0"/>
              <w:pageBreakBefore w:val="0"/>
              <w:numPr>
                <w:ilvl w:val="0"/>
                <w:numId w:val="7"/>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真空负压井内真空阀防堵安装结构，专利号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ZL 2021 2 2317121.7</w:t>
            </w:r>
          </w:p>
          <w:p w14:paraId="3FB3AFB5">
            <w:pPr>
              <w:pStyle w:val="2"/>
              <w:keepNext w:val="0"/>
              <w:keepLines w:val="0"/>
              <w:pageBreakBefore w:val="0"/>
              <w:numPr>
                <w:ilvl w:val="0"/>
                <w:numId w:val="7"/>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真空污水收集管道自动补气清扫装置，ZL 2023 2 0298256.X</w:t>
            </w:r>
          </w:p>
          <w:p w14:paraId="7238430B">
            <w:pPr>
              <w:keepNext w:val="0"/>
              <w:keepLines w:val="0"/>
              <w:pageBreakBefore w:val="0"/>
              <w:widowControl/>
              <w:numPr>
                <w:ilvl w:val="0"/>
                <w:numId w:val="5"/>
              </w:numPr>
              <w:kinsoku/>
              <w:wordWrap/>
              <w:overflowPunct/>
              <w:topLinePunct w:val="0"/>
              <w:autoSpaceDE w:val="0"/>
              <w:autoSpaceDN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b/>
                <w:sz w:val="24"/>
                <w:szCs w:val="24"/>
              </w:rPr>
            </w:pPr>
            <w:r>
              <w:rPr>
                <w:rFonts w:hint="default" w:ascii="宋体" w:hAnsi="宋体" w:cs="Times New Roman" w:eastAsiaTheme="minorEastAsia"/>
                <w:b/>
                <w:sz w:val="24"/>
                <w:szCs w:val="24"/>
              </w:rPr>
              <w:t>软件著作权证书</w:t>
            </w:r>
          </w:p>
          <w:p w14:paraId="0D4C1E30">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真空泵排水控制软件V1.0，登记号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2022SR0091636</w:t>
            </w:r>
            <w:r>
              <w:rPr>
                <w:rFonts w:hint="default" w:ascii="宋体" w:hAnsi="宋体" w:cs="Times New Roman" w:eastAsiaTheme="minorEastAsia"/>
                <w:sz w:val="24"/>
                <w:szCs w:val="24"/>
              </w:rPr>
              <w:tab/>
            </w:r>
          </w:p>
          <w:p w14:paraId="71CD6557">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真空抽水系统V1. 1，登记号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2019SR0146919</w:t>
            </w:r>
          </w:p>
          <w:p w14:paraId="4090889D">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软件名称</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真空排水低压报警软件V1.0，登记号</w:t>
            </w:r>
            <w:r>
              <w:rPr>
                <w:rFonts w:hint="eastAsia" w:ascii="宋体" w:hAnsi="宋体" w:cs="Times New Roman" w:eastAsiaTheme="minorEastAsia"/>
                <w:sz w:val="24"/>
                <w:szCs w:val="24"/>
                <w:lang w:eastAsia="zh-CN"/>
              </w:rPr>
              <w:t>：</w:t>
            </w:r>
            <w:r>
              <w:rPr>
                <w:rFonts w:hint="default" w:ascii="宋体" w:hAnsi="宋体" w:cs="Times New Roman" w:eastAsiaTheme="minorEastAsia"/>
                <w:sz w:val="24"/>
                <w:szCs w:val="24"/>
              </w:rPr>
              <w:t>2022SR084371</w:t>
            </w:r>
          </w:p>
          <w:p w14:paraId="2BDEFFC8">
            <w:pPr>
              <w:pStyle w:val="2"/>
              <w:keepNext w:val="0"/>
              <w:keepLines w:val="0"/>
              <w:pageBreakBefore w:val="0"/>
              <w:numPr>
                <w:ilvl w:val="0"/>
                <w:numId w:val="5"/>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b/>
                <w:sz w:val="24"/>
                <w:szCs w:val="24"/>
              </w:rPr>
            </w:pPr>
            <w:r>
              <w:rPr>
                <w:rFonts w:hint="default" w:ascii="宋体" w:hAnsi="宋体" w:cs="Times New Roman" w:eastAsiaTheme="minorEastAsia"/>
                <w:b/>
                <w:sz w:val="24"/>
                <w:szCs w:val="24"/>
              </w:rPr>
              <w:t>检验报告</w:t>
            </w:r>
          </w:p>
          <w:p w14:paraId="4A1E8457">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产品名称：PE真空井</w:t>
            </w:r>
          </w:p>
          <w:p w14:paraId="789B9E67">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产品名称：ST真空井</w:t>
            </w:r>
          </w:p>
          <w:p w14:paraId="111C074A">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产品名称：真空阀50A</w:t>
            </w:r>
          </w:p>
          <w:p w14:paraId="510D3279">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产品名称：真空井水位作动控制器</w:t>
            </w:r>
          </w:p>
          <w:p w14:paraId="4320BD52">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产品名称：真空拦污收集器</w:t>
            </w:r>
          </w:p>
          <w:p w14:paraId="074F64FA">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产品名称：真空收集系统</w:t>
            </w:r>
          </w:p>
          <w:p w14:paraId="6B1D9475">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产品名称：真空站</w:t>
            </w:r>
          </w:p>
          <w:p w14:paraId="380693DE">
            <w:pPr>
              <w:pStyle w:val="2"/>
              <w:keepNext w:val="0"/>
              <w:keepLines w:val="0"/>
              <w:pageBreakBefore w:val="0"/>
              <w:numPr>
                <w:ilvl w:val="0"/>
                <w:numId w:val="8"/>
              </w:numPr>
              <w:tabs>
                <w:tab w:val="right" w:pos="6877"/>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产品名称：自动真空清扫器</w:t>
            </w:r>
          </w:p>
        </w:tc>
      </w:tr>
      <w:tr w14:paraId="13570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2134" w:type="dxa"/>
            <w:tcMar>
              <w:top w:w="0" w:type="dxa"/>
              <w:left w:w="108" w:type="dxa"/>
              <w:bottom w:w="0" w:type="dxa"/>
              <w:right w:w="108" w:type="dxa"/>
            </w:tcMar>
            <w:vAlign w:val="center"/>
          </w:tcPr>
          <w:p w14:paraId="6D5467E2">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093" w:type="dxa"/>
            <w:gridSpan w:val="5"/>
            <w:tcMar>
              <w:top w:w="0" w:type="dxa"/>
              <w:left w:w="108" w:type="dxa"/>
              <w:bottom w:w="0" w:type="dxa"/>
              <w:right w:w="108" w:type="dxa"/>
            </w:tcMar>
            <w:vAlign w:val="center"/>
          </w:tcPr>
          <w:p w14:paraId="4FE6CFD4">
            <w:pPr>
              <w:keepNext w:val="0"/>
              <w:keepLines w:val="0"/>
              <w:pageBreakBefore w:val="0"/>
              <w:widowControl/>
              <w:numPr>
                <w:ilvl w:val="0"/>
                <w:numId w:val="9"/>
              </w:numPr>
              <w:kinsoku/>
              <w:wordWrap/>
              <w:overflowPunct/>
              <w:topLinePunct w:val="0"/>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重力收集系统无法使用区域</w:t>
            </w:r>
            <w:r>
              <w:rPr>
                <w:rFonts w:hint="eastAsia" w:ascii="宋体" w:hAnsi="宋体" w:cs="Times New Roman"/>
                <w:sz w:val="24"/>
                <w:szCs w:val="24"/>
                <w:lang w:eastAsia="zh-CN"/>
              </w:rPr>
              <w:t>——</w:t>
            </w:r>
            <w:r>
              <w:rPr>
                <w:rFonts w:hint="default" w:ascii="宋体" w:hAnsi="宋体" w:cs="Times New Roman" w:eastAsiaTheme="minorEastAsia"/>
                <w:sz w:val="24"/>
                <w:szCs w:val="24"/>
              </w:rPr>
              <w:t>水位高、沿河直排等</w:t>
            </w:r>
          </w:p>
          <w:p w14:paraId="76D22AB0">
            <w:pPr>
              <w:keepNext w:val="0"/>
              <w:keepLines w:val="0"/>
              <w:pageBreakBefore w:val="0"/>
              <w:widowControl/>
              <w:numPr>
                <w:ilvl w:val="0"/>
                <w:numId w:val="9"/>
              </w:numPr>
              <w:kinsoku/>
              <w:wordWrap/>
              <w:overflowPunct/>
              <w:topLinePunct w:val="0"/>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局限公共场所受限区域</w:t>
            </w:r>
            <w:r>
              <w:rPr>
                <w:rFonts w:hint="eastAsia" w:ascii="宋体" w:hAnsi="宋体" w:cs="Times New Roman"/>
                <w:sz w:val="24"/>
                <w:szCs w:val="24"/>
                <w:lang w:eastAsia="zh-CN"/>
              </w:rPr>
              <w:t>——</w:t>
            </w:r>
            <w:r>
              <w:rPr>
                <w:rFonts w:hint="default" w:ascii="宋体" w:hAnsi="宋体" w:cs="Times New Roman" w:eastAsiaTheme="minorEastAsia"/>
                <w:sz w:val="24"/>
                <w:szCs w:val="24"/>
              </w:rPr>
              <w:t>农村、学校、游乐园、景观休闲区</w:t>
            </w:r>
          </w:p>
          <w:p w14:paraId="254FAF51">
            <w:pPr>
              <w:keepNext w:val="0"/>
              <w:keepLines w:val="0"/>
              <w:pageBreakBefore w:val="0"/>
              <w:widowControl/>
              <w:numPr>
                <w:ilvl w:val="0"/>
                <w:numId w:val="9"/>
              </w:numPr>
              <w:kinsoku/>
              <w:wordWrap/>
              <w:overflowPunct/>
              <w:topLinePunct w:val="0"/>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地下水位高、地质软弱区域</w:t>
            </w:r>
            <w:r>
              <w:rPr>
                <w:rFonts w:hint="eastAsia" w:ascii="宋体" w:hAnsi="宋体" w:cs="Times New Roman"/>
                <w:sz w:val="24"/>
                <w:szCs w:val="24"/>
                <w:lang w:eastAsia="zh-CN"/>
              </w:rPr>
              <w:t>——</w:t>
            </w:r>
            <w:r>
              <w:rPr>
                <w:rFonts w:hint="default" w:ascii="宋体" w:hAnsi="宋体" w:cs="Times New Roman" w:eastAsiaTheme="minorEastAsia"/>
                <w:sz w:val="24"/>
                <w:szCs w:val="24"/>
              </w:rPr>
              <w:t>沿湖/海新开发住宅别墅区</w:t>
            </w:r>
          </w:p>
          <w:p w14:paraId="17D835A4">
            <w:pPr>
              <w:keepNext w:val="0"/>
              <w:keepLines w:val="0"/>
              <w:pageBreakBefore w:val="0"/>
              <w:widowControl/>
              <w:numPr>
                <w:ilvl w:val="0"/>
                <w:numId w:val="9"/>
              </w:numPr>
              <w:kinsoku/>
              <w:wordWrap/>
              <w:overflowPunct/>
              <w:topLinePunct w:val="0"/>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水上景观区、度假酒店或别墅住宅区</w:t>
            </w:r>
            <w:r>
              <w:rPr>
                <w:rFonts w:hint="eastAsia" w:ascii="宋体" w:hAnsi="宋体" w:cs="Times New Roman"/>
                <w:sz w:val="24"/>
                <w:szCs w:val="24"/>
                <w:lang w:eastAsia="zh-CN"/>
              </w:rPr>
              <w:t>——</w:t>
            </w:r>
            <w:r>
              <w:rPr>
                <w:rFonts w:hint="default" w:ascii="宋体" w:hAnsi="宋体" w:cs="Times New Roman" w:eastAsiaTheme="minorEastAsia"/>
                <w:sz w:val="24"/>
                <w:szCs w:val="24"/>
              </w:rPr>
              <w:t>迪拜棕梠岛区、海上</w:t>
            </w:r>
            <w:r>
              <w:rPr>
                <w:rFonts w:hint="eastAsia" w:ascii="宋体" w:hAnsi="宋体" w:cs="Times New Roman"/>
                <w:sz w:val="24"/>
                <w:szCs w:val="24"/>
                <w:lang w:val="en-US" w:eastAsia="zh-CN"/>
              </w:rPr>
              <w:t>度</w:t>
            </w:r>
            <w:r>
              <w:rPr>
                <w:rFonts w:hint="default" w:ascii="宋体" w:hAnsi="宋体" w:cs="Times New Roman" w:eastAsiaTheme="minorEastAsia"/>
                <w:sz w:val="24"/>
                <w:szCs w:val="24"/>
              </w:rPr>
              <w:t xml:space="preserve">假酒店                                                 </w:t>
            </w:r>
          </w:p>
          <w:p w14:paraId="0D55ECD4">
            <w:pPr>
              <w:keepNext w:val="0"/>
              <w:keepLines w:val="0"/>
              <w:pageBreakBefore w:val="0"/>
              <w:widowControl/>
              <w:numPr>
                <w:ilvl w:val="0"/>
                <w:numId w:val="9"/>
              </w:numPr>
              <w:kinsoku/>
              <w:wordWrap/>
              <w:overflowPunct/>
              <w:topLinePunct w:val="0"/>
              <w:bidi w:val="0"/>
              <w:adjustRightInd w:val="0"/>
              <w:snapToGrid w:val="0"/>
              <w:spacing w:beforeAutospacing="0" w:afterAutospacing="0" w:line="440" w:lineRule="exact"/>
              <w:ind w:left="0" w:firstLine="0" w:firstLineChars="0"/>
              <w:jc w:val="left"/>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卵砾石或岩盘困难开挖区域</w:t>
            </w:r>
            <w:r>
              <w:rPr>
                <w:rFonts w:hint="eastAsia" w:ascii="宋体" w:hAnsi="宋体" w:cs="Times New Roman"/>
                <w:sz w:val="24"/>
                <w:szCs w:val="24"/>
                <w:lang w:eastAsia="zh-CN"/>
              </w:rPr>
              <w:t>——</w:t>
            </w:r>
            <w:r>
              <w:rPr>
                <w:rFonts w:hint="default" w:ascii="宋体" w:hAnsi="宋体" w:cs="Times New Roman" w:eastAsiaTheme="minorEastAsia"/>
                <w:sz w:val="24"/>
                <w:szCs w:val="24"/>
              </w:rPr>
              <w:t>诸如澳大利亚大堡礁区、宁波石山弄</w:t>
            </w:r>
          </w:p>
        </w:tc>
      </w:tr>
      <w:tr w14:paraId="40ED9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93" w:hRule="atLeast"/>
          <w:jc w:val="center"/>
        </w:trPr>
        <w:tc>
          <w:tcPr>
            <w:tcW w:w="2134" w:type="dxa"/>
            <w:tcMar>
              <w:top w:w="0" w:type="dxa"/>
              <w:left w:w="108" w:type="dxa"/>
              <w:bottom w:w="0" w:type="dxa"/>
              <w:right w:w="108" w:type="dxa"/>
            </w:tcMar>
            <w:vAlign w:val="center"/>
          </w:tcPr>
          <w:p w14:paraId="6CB3901A">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093" w:type="dxa"/>
            <w:gridSpan w:val="5"/>
            <w:tcMar>
              <w:top w:w="0" w:type="dxa"/>
              <w:left w:w="108" w:type="dxa"/>
              <w:bottom w:w="0" w:type="dxa"/>
              <w:right w:w="108" w:type="dxa"/>
            </w:tcMar>
            <w:vAlign w:val="center"/>
          </w:tcPr>
          <w:p w14:paraId="6FCA1B5A">
            <w:pPr>
              <w:pStyle w:val="2"/>
              <w:keepNext w:val="0"/>
              <w:keepLines w:val="0"/>
              <w:pageBreakBefore w:val="0"/>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b/>
                <w:sz w:val="24"/>
                <w:szCs w:val="24"/>
              </w:rPr>
            </w:pPr>
            <w:r>
              <w:rPr>
                <w:rFonts w:hint="default" w:ascii="宋体" w:hAnsi="宋体" w:cs="Times New Roman" w:eastAsiaTheme="minorEastAsia"/>
                <w:b/>
                <w:sz w:val="24"/>
                <w:szCs w:val="24"/>
              </w:rPr>
              <w:t>一、应用工程</w:t>
            </w:r>
          </w:p>
          <w:p w14:paraId="001294C4">
            <w:pPr>
              <w:pStyle w:val="2"/>
              <w:keepNext w:val="0"/>
              <w:keepLines w:val="0"/>
              <w:pageBreakBefore w:val="0"/>
              <w:numPr>
                <w:ilvl w:val="0"/>
                <w:numId w:val="10"/>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color w:val="auto"/>
                <w:kern w:val="2"/>
                <w:sz w:val="24"/>
                <w:szCs w:val="24"/>
              </w:rPr>
            </w:pPr>
            <w:r>
              <w:rPr>
                <w:rFonts w:hint="default" w:ascii="宋体" w:hAnsi="宋体" w:cs="Times New Roman" w:eastAsiaTheme="minorEastAsia"/>
                <w:color w:val="auto"/>
                <w:kern w:val="2"/>
                <w:sz w:val="24"/>
                <w:szCs w:val="24"/>
              </w:rPr>
              <w:t>投入使用的最早时间：自2012年以来不断有农污项目使用</w:t>
            </w:r>
          </w:p>
          <w:p w14:paraId="2015D3E2">
            <w:pPr>
              <w:pStyle w:val="2"/>
              <w:keepNext w:val="0"/>
              <w:keepLines w:val="0"/>
              <w:pageBreakBefore w:val="0"/>
              <w:numPr>
                <w:ilvl w:val="0"/>
                <w:numId w:val="10"/>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color w:val="auto"/>
                <w:kern w:val="2"/>
                <w:sz w:val="24"/>
                <w:szCs w:val="24"/>
              </w:rPr>
            </w:pPr>
            <w:r>
              <w:rPr>
                <w:rFonts w:hint="default" w:ascii="宋体" w:hAnsi="宋体" w:cs="Times New Roman" w:eastAsiaTheme="minorEastAsia"/>
                <w:color w:val="auto"/>
                <w:kern w:val="2"/>
                <w:sz w:val="24"/>
                <w:szCs w:val="24"/>
              </w:rPr>
              <w:t>应用工程总数：超过100个项目使用中鹿真空负压系统</w:t>
            </w:r>
          </w:p>
          <w:p w14:paraId="53CFC555">
            <w:pPr>
              <w:pStyle w:val="2"/>
              <w:keepNext w:val="0"/>
              <w:keepLines w:val="0"/>
              <w:pageBreakBefore w:val="0"/>
              <w:numPr>
                <w:ilvl w:val="0"/>
                <w:numId w:val="11"/>
              </w:numPr>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b/>
                <w:sz w:val="24"/>
                <w:szCs w:val="24"/>
              </w:rPr>
            </w:pPr>
            <w:r>
              <w:rPr>
                <w:rFonts w:hint="default" w:ascii="宋体" w:hAnsi="宋体" w:cs="Times New Roman" w:eastAsiaTheme="minorEastAsia"/>
                <w:b/>
                <w:sz w:val="24"/>
                <w:szCs w:val="24"/>
              </w:rPr>
              <w:t>应用规模、效益情况</w:t>
            </w:r>
          </w:p>
          <w:p w14:paraId="0F821FC4">
            <w:pPr>
              <w:pStyle w:val="2"/>
              <w:keepNext w:val="0"/>
              <w:keepLines w:val="0"/>
              <w:pageBreakBefore w:val="0"/>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color w:val="auto"/>
                <w:kern w:val="2"/>
                <w:sz w:val="24"/>
                <w:szCs w:val="24"/>
              </w:rPr>
            </w:pPr>
            <w:r>
              <w:rPr>
                <w:rFonts w:hint="default" w:ascii="宋体" w:hAnsi="宋体" w:cs="Times New Roman" w:eastAsiaTheme="minorEastAsia"/>
                <w:color w:val="auto"/>
                <w:kern w:val="2"/>
                <w:sz w:val="24"/>
                <w:szCs w:val="24"/>
              </w:rPr>
              <w:t>（1）在我国现况真空负压污水收集系统已被广泛运用于各个地区，如：</w:t>
            </w:r>
          </w:p>
          <w:p w14:paraId="467A3F4A">
            <w:pPr>
              <w:pStyle w:val="2"/>
              <w:keepNext w:val="0"/>
              <w:keepLines w:val="0"/>
              <w:pageBreakBefore w:val="0"/>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color w:val="auto"/>
                <w:kern w:val="2"/>
                <w:sz w:val="24"/>
                <w:szCs w:val="24"/>
              </w:rPr>
            </w:pPr>
            <w:r>
              <w:rPr>
                <w:rFonts w:hint="default" w:ascii="宋体" w:hAnsi="宋体" w:cs="Times New Roman" w:eastAsiaTheme="minorEastAsia"/>
                <w:color w:val="auto"/>
                <w:kern w:val="2"/>
                <w:sz w:val="24"/>
                <w:szCs w:val="24"/>
              </w:rPr>
              <w:t>苏南地区的苏州太仓市、常州等；苏中地区的南通的通州区、崇川区、海门、启东市、海安市；泰州等；苏北地区的盐城、连云港、徐州等；上海市的奉贤区、南汇等；福建省的莆田市等；浙江省的台州市、嘉兴市、丽水等；广东省的中山市、揭阳；海南省的海口市。</w:t>
            </w:r>
          </w:p>
          <w:p w14:paraId="11ED8CA4">
            <w:pPr>
              <w:pStyle w:val="2"/>
              <w:keepNext w:val="0"/>
              <w:keepLines w:val="0"/>
              <w:pageBreakBefore w:val="0"/>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color w:val="auto"/>
                <w:kern w:val="2"/>
                <w:sz w:val="24"/>
                <w:szCs w:val="24"/>
              </w:rPr>
            </w:pPr>
            <w:r>
              <w:rPr>
                <w:rFonts w:hint="default" w:ascii="宋体" w:hAnsi="宋体" w:cs="Times New Roman" w:eastAsiaTheme="minorEastAsia"/>
                <w:color w:val="auto"/>
                <w:kern w:val="2"/>
                <w:sz w:val="24"/>
                <w:szCs w:val="24"/>
              </w:rPr>
              <w:t xml:space="preserve">  （2） 解决施工过程中的不同难点</w:t>
            </w:r>
          </w:p>
          <w:p w14:paraId="2CEEC166">
            <w:pPr>
              <w:keepNext w:val="0"/>
              <w:keepLines w:val="0"/>
              <w:pageBreakBefore w:val="0"/>
              <w:widowControl/>
              <w:tabs>
                <w:tab w:val="left" w:pos="1050"/>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①沿河</w:t>
            </w:r>
            <w:r>
              <w:rPr>
                <w:rFonts w:hint="eastAsia" w:ascii="宋体" w:hAnsi="宋体" w:cs="Times New Roman"/>
                <w:sz w:val="24"/>
                <w:szCs w:val="24"/>
                <w:lang w:eastAsia="zh-CN"/>
              </w:rPr>
              <w:t>－</w:t>
            </w:r>
            <w:r>
              <w:rPr>
                <w:rFonts w:hint="default" w:ascii="宋体" w:hAnsi="宋体" w:cs="Times New Roman" w:eastAsiaTheme="minorEastAsia"/>
                <w:sz w:val="24"/>
                <w:szCs w:val="24"/>
              </w:rPr>
              <w:t>农村真空排污</w:t>
            </w:r>
          </w:p>
          <w:p w14:paraId="0F07941F">
            <w:pPr>
              <w:keepNext w:val="0"/>
              <w:keepLines w:val="0"/>
              <w:pageBreakBefore w:val="0"/>
              <w:widowControl/>
              <w:tabs>
                <w:tab w:val="left" w:pos="1050"/>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工程业绩 : 泰兴市村镇生活污水治理项目PPP项目</w:t>
            </w:r>
          </w:p>
          <w:p w14:paraId="26B7FCC7">
            <w:pPr>
              <w:keepNext w:val="0"/>
              <w:keepLines w:val="0"/>
              <w:pageBreakBefore w:val="0"/>
              <w:widowControl/>
              <w:tabs>
                <w:tab w:val="left" w:pos="1050"/>
              </w:tabs>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该项目收集户数1387户，服务4161人。由于沿河各镇均在河流环绕的平原地带，且镇上居民住宅大多倚河而建，虽地势平坦，但传统重力排水深挖深埋的施作方式，故而原住户排水口在沿河道两侧，生活污水只能直排入河，此场景无施作空间，这就给当地污水的系统收集带来了极大的难度，遂使用管径小易壁挂、无电力驱动运营成本低的真空负压污水收集方案进行有效治理。</w:t>
            </w:r>
          </w:p>
          <w:p w14:paraId="56B6000A">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②高低落差大</w:t>
            </w:r>
            <w:r>
              <w:rPr>
                <w:rFonts w:hint="eastAsia" w:ascii="宋体" w:hAnsi="宋体" w:cs="Times New Roman"/>
                <w:sz w:val="24"/>
                <w:szCs w:val="24"/>
                <w:lang w:eastAsia="zh-CN"/>
              </w:rPr>
              <w:t>－</w:t>
            </w:r>
            <w:r>
              <w:rPr>
                <w:rFonts w:hint="default" w:ascii="宋体" w:hAnsi="宋体" w:cs="Times New Roman" w:eastAsiaTheme="minorEastAsia"/>
                <w:sz w:val="24"/>
                <w:szCs w:val="24"/>
              </w:rPr>
              <w:t>农村真空排污</w:t>
            </w:r>
          </w:p>
          <w:p w14:paraId="4BC368CF">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工程业绩：海州区农村生活污水治理工程</w:t>
            </w:r>
          </w:p>
          <w:p w14:paraId="35262583">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该项目收集户数596户，服务2320人。原住户住宅区排布密集且邻山布局，故而该区域收集污水因高低落差大管道需不断爬升，因重力管道需下沉式布管，上行布管需配置大量重力提升装置，造价高昂，遂使用管径小浅开挖且可上、下行配管爬升、无电力驱动运营成本低的真空负压污水收集方案进行有效治理。</w:t>
            </w:r>
          </w:p>
          <w:p w14:paraId="67A11529">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③无法使用重力岛屿</w:t>
            </w:r>
            <w:r>
              <w:rPr>
                <w:rFonts w:hint="eastAsia" w:ascii="宋体" w:hAnsi="宋体" w:cs="Times New Roman"/>
                <w:sz w:val="24"/>
                <w:szCs w:val="24"/>
                <w:lang w:eastAsia="zh-CN"/>
              </w:rPr>
              <w:t>－</w:t>
            </w:r>
            <w:r>
              <w:rPr>
                <w:rFonts w:hint="default" w:ascii="宋体" w:hAnsi="宋体" w:cs="Times New Roman" w:eastAsiaTheme="minorEastAsia"/>
                <w:sz w:val="24"/>
                <w:szCs w:val="24"/>
              </w:rPr>
              <w:t>岛屿真空排污</w:t>
            </w:r>
          </w:p>
          <w:p w14:paraId="19DD38B8">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工程业绩：福建莆田市农村生活污水治理及笏石溪河道综合整治PPP项目</w:t>
            </w:r>
          </w:p>
          <w:p w14:paraId="3505B6B6">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该项目收集户数429户，服务814人。原住户住宅区四面环海，所有建设材料需海运进岛，若采用重力成本极高，遂使用管径小浅开挖、无电力驱动运营成本低、施工便捷的真空负压污水收集方案进行有效治理。</w:t>
            </w:r>
          </w:p>
          <w:p w14:paraId="39C5A89D">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④地层难开挖</w:t>
            </w:r>
            <w:r>
              <w:rPr>
                <w:rFonts w:hint="eastAsia" w:ascii="宋体" w:hAnsi="宋体" w:cs="Times New Roman"/>
                <w:sz w:val="24"/>
                <w:szCs w:val="24"/>
                <w:lang w:eastAsia="zh-CN"/>
              </w:rPr>
              <w:t>－</w:t>
            </w:r>
            <w:r>
              <w:rPr>
                <w:rFonts w:hint="default" w:ascii="宋体" w:hAnsi="宋体" w:cs="Times New Roman" w:eastAsiaTheme="minorEastAsia"/>
                <w:sz w:val="24"/>
                <w:szCs w:val="24"/>
              </w:rPr>
              <w:t>农村真空排污</w:t>
            </w:r>
          </w:p>
          <w:p w14:paraId="18B2C0E3">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工程业绩：浙江宁波区农村生活污水治理工程</w:t>
            </w:r>
          </w:p>
          <w:p w14:paraId="6334A9F1">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该项目收集户数530户，服务1590人。原住户聚居点过于分散且加之岩石层过厚难开挖，若采用重力成本高，遂使用管径小浅开挖、无电力驱动，系统收集半径可达三公里，运营成本低的真空负压污水收集方案进行有效治理。</w:t>
            </w:r>
          </w:p>
          <w:p w14:paraId="3885226F">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⑤老旧小区改造</w:t>
            </w:r>
            <w:r>
              <w:rPr>
                <w:rFonts w:hint="eastAsia" w:ascii="宋体" w:hAnsi="宋体" w:cs="Times New Roman"/>
                <w:sz w:val="24"/>
                <w:szCs w:val="24"/>
                <w:lang w:eastAsia="zh-CN"/>
              </w:rPr>
              <w:t>－</w:t>
            </w:r>
            <w:r>
              <w:rPr>
                <w:rFonts w:hint="default" w:ascii="宋体" w:hAnsi="宋体" w:cs="Times New Roman" w:eastAsiaTheme="minorEastAsia"/>
                <w:sz w:val="24"/>
                <w:szCs w:val="24"/>
              </w:rPr>
              <w:t>老旧小区真空排污</w:t>
            </w:r>
          </w:p>
          <w:p w14:paraId="60CB11F3">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工程业绩：丽水市莲都区环保局老旧小区污水改造项目</w:t>
            </w:r>
          </w:p>
          <w:p w14:paraId="5E83EAB4">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该项目收集户数75户，服务225人。住户住宅区巷道窄施工作业面受限，传统重力开挖面积大而深，对路面破坏程度高，影响居民出行；遂使用管径小浅埋好开挖、工期短、无电力驱动运营成本低的真空负压污水收集方案进行有效治理。</w:t>
            </w:r>
          </w:p>
          <w:p w14:paraId="7C8C9D95">
            <w:pPr>
              <w:keepNext w:val="0"/>
              <w:keepLines w:val="0"/>
              <w:pageBreakBefore w:val="0"/>
              <w:widowControl/>
              <w:kinsoku/>
              <w:wordWrap/>
              <w:overflowPunct/>
              <w:topLinePunct w:val="0"/>
              <w:bidi w:val="0"/>
              <w:adjustRightInd w:val="0"/>
              <w:snapToGrid w:val="0"/>
              <w:spacing w:beforeAutospacing="0" w:afterAutospacing="0" w:line="440" w:lineRule="exact"/>
              <w:ind w:lef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注：其他真空相关实绩众多不逐罗列</w:t>
            </w:r>
          </w:p>
        </w:tc>
      </w:tr>
    </w:tbl>
    <w:p w14:paraId="56453FCC">
      <w:pPr>
        <w:pStyle w:val="4"/>
        <w:bidi w:val="0"/>
        <w:spacing w:line="240" w:lineRule="auto"/>
        <w:rPr>
          <w:rFonts w:hint="default" w:ascii="宋体" w:hAnsi="宋体" w:cs="Times New Roman"/>
          <w:sz w:val="28"/>
          <w:szCs w:val="28"/>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07A8458">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 w:name="_Toc29447"/>
      <w:r>
        <w:rPr>
          <w:rFonts w:hint="default" w:ascii="宋体" w:hAnsi="宋体" w:cs="Times New Roman"/>
          <w:sz w:val="28"/>
          <w:szCs w:val="28"/>
          <w:lang w:val="en-US" w:eastAsia="zh-CN"/>
        </w:rPr>
        <w:t>1.</w:t>
      </w:r>
      <w:r>
        <w:rPr>
          <w:rFonts w:hint="eastAsia" w:ascii="宋体" w:hAnsi="宋体" w:cs="Times New Roman"/>
          <w:sz w:val="28"/>
          <w:szCs w:val="28"/>
          <w:lang w:val="en-US" w:eastAsia="zh-CN"/>
        </w:rPr>
        <w:t>2</w:t>
      </w:r>
      <w:r>
        <w:rPr>
          <w:rFonts w:hint="default" w:ascii="宋体" w:hAnsi="宋体" w:cs="Times New Roman"/>
          <w:sz w:val="28"/>
          <w:szCs w:val="28"/>
          <w:lang w:val="en-US" w:eastAsia="zh-CN"/>
        </w:rPr>
        <w:t xml:space="preserve"> 小型水库物业化管理平台</w:t>
      </w:r>
      <w:bookmarkEnd w:id="2"/>
    </w:p>
    <w:tbl>
      <w:tblPr>
        <w:tblStyle w:val="28"/>
        <w:tblW w:w="9088" w:type="dxa"/>
        <w:tblInd w:w="-27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076"/>
        <w:gridCol w:w="1458"/>
        <w:gridCol w:w="1157"/>
        <w:gridCol w:w="1629"/>
        <w:gridCol w:w="1407"/>
        <w:gridCol w:w="1361"/>
      </w:tblGrid>
      <w:tr w14:paraId="0229CE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trPr>
        <w:tc>
          <w:tcPr>
            <w:tcW w:w="2076" w:type="dxa"/>
            <w:tcBorders>
              <w:tl2br w:val="nil"/>
              <w:tr2bl w:val="nil"/>
            </w:tcBorders>
            <w:tcMar>
              <w:top w:w="0" w:type="dxa"/>
              <w:left w:w="108" w:type="dxa"/>
              <w:bottom w:w="0" w:type="dxa"/>
              <w:right w:w="108" w:type="dxa"/>
            </w:tcMar>
            <w:vAlign w:val="center"/>
          </w:tcPr>
          <w:p w14:paraId="1AC1558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技术（产品）名称</w:t>
            </w:r>
          </w:p>
        </w:tc>
        <w:tc>
          <w:tcPr>
            <w:tcW w:w="7012" w:type="dxa"/>
            <w:gridSpan w:val="5"/>
            <w:tcBorders>
              <w:tl2br w:val="nil"/>
              <w:tr2bl w:val="nil"/>
            </w:tcBorders>
            <w:tcMar>
              <w:top w:w="0" w:type="dxa"/>
              <w:left w:w="108" w:type="dxa"/>
              <w:bottom w:w="0" w:type="dxa"/>
              <w:right w:w="108" w:type="dxa"/>
            </w:tcMar>
            <w:vAlign w:val="center"/>
          </w:tcPr>
          <w:p w14:paraId="15647EF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小型水库物业化管理平台</w:t>
            </w:r>
          </w:p>
        </w:tc>
      </w:tr>
      <w:tr w14:paraId="37378D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trPr>
        <w:tc>
          <w:tcPr>
            <w:tcW w:w="2076" w:type="dxa"/>
            <w:tcBorders>
              <w:tl2br w:val="nil"/>
              <w:tr2bl w:val="nil"/>
            </w:tcBorders>
            <w:tcMar>
              <w:top w:w="0" w:type="dxa"/>
              <w:left w:w="108" w:type="dxa"/>
              <w:bottom w:w="0" w:type="dxa"/>
              <w:right w:w="108" w:type="dxa"/>
            </w:tcMar>
            <w:vAlign w:val="center"/>
          </w:tcPr>
          <w:p w14:paraId="4615F46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w:t>
            </w:r>
          </w:p>
        </w:tc>
        <w:tc>
          <w:tcPr>
            <w:tcW w:w="7012" w:type="dxa"/>
            <w:gridSpan w:val="5"/>
            <w:tcBorders>
              <w:tl2br w:val="nil"/>
              <w:tr2bl w:val="nil"/>
            </w:tcBorders>
            <w:tcMar>
              <w:top w:w="0" w:type="dxa"/>
              <w:left w:w="108" w:type="dxa"/>
              <w:bottom w:w="0" w:type="dxa"/>
              <w:right w:w="108" w:type="dxa"/>
            </w:tcMar>
            <w:vAlign w:val="center"/>
          </w:tcPr>
          <w:p w14:paraId="3E3891E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云南省水利水电勘测设计研究院、云南省水利水电勘测设计院</w:t>
            </w:r>
          </w:p>
          <w:p w14:paraId="37AE77C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zh-CN"/>
              </w:rPr>
            </w:pPr>
            <w:r>
              <w:rPr>
                <w:rFonts w:hint="default" w:ascii="宋体" w:hAnsi="宋体" w:eastAsia="宋体" w:cs="Times New Roman"/>
                <w:kern w:val="0"/>
                <w:sz w:val="24"/>
                <w:szCs w:val="24"/>
              </w:rPr>
              <w:t>有限公司</w:t>
            </w:r>
          </w:p>
        </w:tc>
      </w:tr>
      <w:tr w14:paraId="4AF993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trPr>
        <w:tc>
          <w:tcPr>
            <w:tcW w:w="2076" w:type="dxa"/>
            <w:tcBorders>
              <w:tl2br w:val="nil"/>
              <w:tr2bl w:val="nil"/>
            </w:tcBorders>
            <w:tcMar>
              <w:top w:w="0" w:type="dxa"/>
              <w:left w:w="108" w:type="dxa"/>
              <w:bottom w:w="0" w:type="dxa"/>
              <w:right w:w="108" w:type="dxa"/>
            </w:tcMar>
            <w:vAlign w:val="center"/>
          </w:tcPr>
          <w:p w14:paraId="65482E3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单位地址</w:t>
            </w:r>
          </w:p>
        </w:tc>
        <w:tc>
          <w:tcPr>
            <w:tcW w:w="4244" w:type="dxa"/>
            <w:gridSpan w:val="3"/>
            <w:tcBorders>
              <w:tl2br w:val="nil"/>
              <w:tr2bl w:val="nil"/>
            </w:tcBorders>
            <w:tcMar>
              <w:top w:w="0" w:type="dxa"/>
              <w:left w:w="108" w:type="dxa"/>
              <w:bottom w:w="0" w:type="dxa"/>
              <w:right w:w="108" w:type="dxa"/>
            </w:tcMar>
            <w:vAlign w:val="center"/>
          </w:tcPr>
          <w:p w14:paraId="0A256A6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云南省昆明市青年路376号</w:t>
            </w:r>
          </w:p>
        </w:tc>
        <w:tc>
          <w:tcPr>
            <w:tcW w:w="1407" w:type="dxa"/>
            <w:tcBorders>
              <w:tl2br w:val="nil"/>
              <w:tr2bl w:val="nil"/>
            </w:tcBorders>
            <w:tcMar>
              <w:top w:w="0" w:type="dxa"/>
              <w:left w:w="108" w:type="dxa"/>
              <w:bottom w:w="0" w:type="dxa"/>
              <w:right w:w="108" w:type="dxa"/>
            </w:tcMar>
            <w:vAlign w:val="center"/>
          </w:tcPr>
          <w:p w14:paraId="05635A5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邮政编码</w:t>
            </w:r>
          </w:p>
        </w:tc>
        <w:tc>
          <w:tcPr>
            <w:tcW w:w="1361" w:type="dxa"/>
            <w:tcBorders>
              <w:tl2br w:val="nil"/>
              <w:tr2bl w:val="nil"/>
            </w:tcBorders>
            <w:tcMar>
              <w:top w:w="0" w:type="dxa"/>
              <w:left w:w="108" w:type="dxa"/>
              <w:bottom w:w="0" w:type="dxa"/>
              <w:right w:w="108" w:type="dxa"/>
            </w:tcMar>
            <w:vAlign w:val="center"/>
          </w:tcPr>
          <w:p w14:paraId="2A4814C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650032</w:t>
            </w:r>
          </w:p>
        </w:tc>
      </w:tr>
      <w:tr w14:paraId="63AA88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trPr>
        <w:tc>
          <w:tcPr>
            <w:tcW w:w="2076" w:type="dxa"/>
            <w:tcBorders>
              <w:tl2br w:val="nil"/>
              <w:tr2bl w:val="nil"/>
            </w:tcBorders>
            <w:tcMar>
              <w:top w:w="0" w:type="dxa"/>
              <w:left w:w="108" w:type="dxa"/>
              <w:bottom w:w="0" w:type="dxa"/>
              <w:right w:w="108" w:type="dxa"/>
            </w:tcMar>
            <w:vAlign w:val="center"/>
          </w:tcPr>
          <w:p w14:paraId="7BF1FE4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法人代表</w:t>
            </w:r>
          </w:p>
        </w:tc>
        <w:tc>
          <w:tcPr>
            <w:tcW w:w="1458" w:type="dxa"/>
            <w:tcBorders>
              <w:tl2br w:val="nil"/>
              <w:tr2bl w:val="nil"/>
            </w:tcBorders>
            <w:tcMar>
              <w:top w:w="0" w:type="dxa"/>
              <w:left w:w="108" w:type="dxa"/>
              <w:bottom w:w="0" w:type="dxa"/>
              <w:right w:w="108" w:type="dxa"/>
            </w:tcMar>
            <w:vAlign w:val="center"/>
          </w:tcPr>
          <w:p w14:paraId="71E2FD1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赵绍熙</w:t>
            </w:r>
          </w:p>
        </w:tc>
        <w:tc>
          <w:tcPr>
            <w:tcW w:w="1157" w:type="dxa"/>
            <w:tcBorders>
              <w:tl2br w:val="nil"/>
              <w:tr2bl w:val="nil"/>
            </w:tcBorders>
            <w:tcMar>
              <w:top w:w="0" w:type="dxa"/>
              <w:left w:w="108" w:type="dxa"/>
              <w:bottom w:w="0" w:type="dxa"/>
              <w:right w:w="108" w:type="dxa"/>
            </w:tcMar>
            <w:vAlign w:val="center"/>
          </w:tcPr>
          <w:p w14:paraId="51A591A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职务</w:t>
            </w:r>
          </w:p>
        </w:tc>
        <w:tc>
          <w:tcPr>
            <w:tcW w:w="1629" w:type="dxa"/>
            <w:tcBorders>
              <w:tl2br w:val="nil"/>
              <w:tr2bl w:val="nil"/>
            </w:tcBorders>
            <w:tcMar>
              <w:top w:w="0" w:type="dxa"/>
              <w:left w:w="108" w:type="dxa"/>
              <w:bottom w:w="0" w:type="dxa"/>
              <w:right w:w="108" w:type="dxa"/>
            </w:tcMar>
            <w:vAlign w:val="center"/>
          </w:tcPr>
          <w:p w14:paraId="4ADDB78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院长</w:t>
            </w:r>
          </w:p>
        </w:tc>
        <w:tc>
          <w:tcPr>
            <w:tcW w:w="1407" w:type="dxa"/>
            <w:tcBorders>
              <w:tl2br w:val="nil"/>
              <w:tr2bl w:val="nil"/>
            </w:tcBorders>
            <w:tcMar>
              <w:top w:w="0" w:type="dxa"/>
              <w:left w:w="108" w:type="dxa"/>
              <w:bottom w:w="0" w:type="dxa"/>
              <w:right w:w="108" w:type="dxa"/>
            </w:tcMar>
            <w:vAlign w:val="center"/>
          </w:tcPr>
          <w:p w14:paraId="0CE5ADB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1361" w:type="dxa"/>
            <w:tcBorders>
              <w:tl2br w:val="nil"/>
              <w:tr2bl w:val="nil"/>
            </w:tcBorders>
            <w:tcMar>
              <w:top w:w="0" w:type="dxa"/>
              <w:left w:w="108" w:type="dxa"/>
              <w:bottom w:w="0" w:type="dxa"/>
              <w:right w:w="108" w:type="dxa"/>
            </w:tcMar>
            <w:vAlign w:val="center"/>
          </w:tcPr>
          <w:p w14:paraId="0562D95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p>
        </w:tc>
      </w:tr>
      <w:tr w14:paraId="12811E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trPr>
        <w:tc>
          <w:tcPr>
            <w:tcW w:w="2076" w:type="dxa"/>
            <w:tcBorders>
              <w:tl2br w:val="nil"/>
              <w:tr2bl w:val="nil"/>
            </w:tcBorders>
            <w:tcMar>
              <w:top w:w="0" w:type="dxa"/>
              <w:left w:w="108" w:type="dxa"/>
              <w:bottom w:w="0" w:type="dxa"/>
              <w:right w:w="108" w:type="dxa"/>
            </w:tcMar>
            <w:vAlign w:val="center"/>
          </w:tcPr>
          <w:p w14:paraId="51F9A99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联系人</w:t>
            </w:r>
          </w:p>
        </w:tc>
        <w:tc>
          <w:tcPr>
            <w:tcW w:w="1458" w:type="dxa"/>
            <w:tcBorders>
              <w:tl2br w:val="nil"/>
              <w:tr2bl w:val="nil"/>
            </w:tcBorders>
            <w:tcMar>
              <w:top w:w="0" w:type="dxa"/>
              <w:left w:w="108" w:type="dxa"/>
              <w:bottom w:w="0" w:type="dxa"/>
              <w:right w:w="108" w:type="dxa"/>
            </w:tcMar>
            <w:vAlign w:val="center"/>
          </w:tcPr>
          <w:p w14:paraId="12D66C5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黄老福</w:t>
            </w:r>
          </w:p>
        </w:tc>
        <w:tc>
          <w:tcPr>
            <w:tcW w:w="1157" w:type="dxa"/>
            <w:tcBorders>
              <w:tl2br w:val="nil"/>
              <w:tr2bl w:val="nil"/>
            </w:tcBorders>
            <w:tcMar>
              <w:top w:w="0" w:type="dxa"/>
              <w:left w:w="108" w:type="dxa"/>
              <w:bottom w:w="0" w:type="dxa"/>
              <w:right w:w="108" w:type="dxa"/>
            </w:tcMar>
            <w:vAlign w:val="center"/>
          </w:tcPr>
          <w:p w14:paraId="2145937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1629" w:type="dxa"/>
            <w:tcBorders>
              <w:tl2br w:val="nil"/>
              <w:tr2bl w:val="nil"/>
            </w:tcBorders>
            <w:tcMar>
              <w:top w:w="0" w:type="dxa"/>
              <w:left w:w="108" w:type="dxa"/>
              <w:bottom w:w="0" w:type="dxa"/>
              <w:right w:w="108" w:type="dxa"/>
            </w:tcMar>
            <w:vAlign w:val="center"/>
          </w:tcPr>
          <w:p w14:paraId="4E6758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val="en-US" w:eastAsia="zh-CN"/>
              </w:rPr>
            </w:pPr>
            <w:r>
              <w:rPr>
                <w:rFonts w:hint="eastAsia" w:ascii="宋体" w:hAnsi="宋体" w:eastAsia="宋体" w:cs="Times New Roman"/>
                <w:kern w:val="0"/>
                <w:sz w:val="24"/>
                <w:szCs w:val="24"/>
                <w:lang w:val="en-US" w:eastAsia="zh-CN"/>
              </w:rPr>
              <w:t>0871-68282515</w:t>
            </w:r>
          </w:p>
        </w:tc>
        <w:tc>
          <w:tcPr>
            <w:tcW w:w="1407" w:type="dxa"/>
            <w:tcBorders>
              <w:tl2br w:val="nil"/>
              <w:tr2bl w:val="nil"/>
            </w:tcBorders>
            <w:tcMar>
              <w:top w:w="0" w:type="dxa"/>
              <w:left w:w="108" w:type="dxa"/>
              <w:bottom w:w="0" w:type="dxa"/>
              <w:right w:w="108" w:type="dxa"/>
            </w:tcMar>
            <w:vAlign w:val="center"/>
          </w:tcPr>
          <w:p w14:paraId="217EB36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E-mail</w:t>
            </w:r>
          </w:p>
        </w:tc>
        <w:tc>
          <w:tcPr>
            <w:tcW w:w="1361" w:type="dxa"/>
            <w:tcBorders>
              <w:tl2br w:val="nil"/>
              <w:tr2bl w:val="nil"/>
            </w:tcBorders>
            <w:tcMar>
              <w:top w:w="0" w:type="dxa"/>
              <w:left w:w="108" w:type="dxa"/>
              <w:bottom w:w="0" w:type="dxa"/>
              <w:right w:w="108" w:type="dxa"/>
            </w:tcMar>
            <w:vAlign w:val="center"/>
          </w:tcPr>
          <w:p w14:paraId="0E6A44D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273911062@qq.com</w:t>
            </w:r>
          </w:p>
        </w:tc>
      </w:tr>
      <w:tr w14:paraId="3187A8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trPr>
        <w:tc>
          <w:tcPr>
            <w:tcW w:w="2076" w:type="dxa"/>
            <w:tcBorders>
              <w:tl2br w:val="nil"/>
              <w:tr2bl w:val="nil"/>
            </w:tcBorders>
            <w:tcMar>
              <w:top w:w="0" w:type="dxa"/>
              <w:left w:w="108" w:type="dxa"/>
              <w:bottom w:w="0" w:type="dxa"/>
              <w:right w:w="108" w:type="dxa"/>
            </w:tcMar>
            <w:vAlign w:val="center"/>
          </w:tcPr>
          <w:p w14:paraId="1A6A635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持有单位简介</w:t>
            </w:r>
          </w:p>
        </w:tc>
        <w:tc>
          <w:tcPr>
            <w:tcW w:w="7012" w:type="dxa"/>
            <w:gridSpan w:val="5"/>
            <w:tcBorders>
              <w:tl2br w:val="nil"/>
              <w:tr2bl w:val="nil"/>
            </w:tcBorders>
            <w:tcMar>
              <w:top w:w="0" w:type="dxa"/>
              <w:left w:w="108" w:type="dxa"/>
              <w:bottom w:w="0" w:type="dxa"/>
              <w:right w:w="108" w:type="dxa"/>
            </w:tcMar>
          </w:tcPr>
          <w:p w14:paraId="44FAB31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云南省水利水电勘测设计研究院（以下简称“研究院”）是省水利厅直属公益二类事业单位，云南省水利水电勘测设计有限公司是研究院的全资子公司。现持有工程勘察综合类甲级、工程设计水利行业类甲级、工程咨询单位甲级资信、测绘甲级、水文水资源调查评价甲级等各类资质、资信34项，获得全国水利水电勘测设计咨询行业“AAA”信用等级，是具有雄厚综合技术实力的国家甲级水利工程勘察设计单位。先后获得“全国五一劳动奖状”“全国文明单位”等省部级以上重要奖项260余项，是西南地区水利勘测设计行业的排头兵、主力军。</w:t>
            </w:r>
          </w:p>
        </w:tc>
      </w:tr>
      <w:tr w14:paraId="4788F3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trPr>
        <w:tc>
          <w:tcPr>
            <w:tcW w:w="2076" w:type="dxa"/>
            <w:tcBorders>
              <w:tl2br w:val="nil"/>
              <w:tr2bl w:val="nil"/>
            </w:tcBorders>
            <w:tcMar>
              <w:top w:w="0" w:type="dxa"/>
              <w:left w:w="108" w:type="dxa"/>
              <w:bottom w:w="0" w:type="dxa"/>
              <w:right w:w="108" w:type="dxa"/>
            </w:tcMar>
            <w:vAlign w:val="center"/>
          </w:tcPr>
          <w:p w14:paraId="335E4CC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技术（产品）简介</w:t>
            </w:r>
          </w:p>
        </w:tc>
        <w:tc>
          <w:tcPr>
            <w:tcW w:w="7012" w:type="dxa"/>
            <w:gridSpan w:val="5"/>
            <w:tcBorders>
              <w:tl2br w:val="nil"/>
              <w:tr2bl w:val="nil"/>
            </w:tcBorders>
            <w:tcMar>
              <w:top w:w="0" w:type="dxa"/>
              <w:left w:w="108" w:type="dxa"/>
              <w:bottom w:w="0" w:type="dxa"/>
              <w:right w:w="108" w:type="dxa"/>
            </w:tcMar>
            <w:vAlign w:val="center"/>
          </w:tcPr>
          <w:p w14:paraId="70C040A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小型水库物业化管理平台，开发集成“水库保姆”移动APP、智慧大屏展示系统及后台信息管理系统，实现了小型水库物业化管理的全流程覆盖。平台实时汇聚水库的水雨情、安全动态及巡查责任信息，通过移动APP，巡查人员可便捷上传问题照片、视频及语音描述，取代传统低效的上报方式，实现一键巡查、全省统管的新模式。平台还构建了数字孪生水库，实现水位、雨水情、巡检记录的数字化映射，并支持实时监控与灾害模拟，能够回溯历史、预演未来，为旱涝灾害防治提供精准预案建议，保障民生安全。平台以其智能化、高效化的特点，显著提升了水库运行管理的水平与效率。</w:t>
            </w:r>
          </w:p>
        </w:tc>
      </w:tr>
      <w:tr w14:paraId="4C7039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trPr>
        <w:tc>
          <w:tcPr>
            <w:tcW w:w="2076" w:type="dxa"/>
            <w:tcBorders>
              <w:tl2br w:val="nil"/>
              <w:tr2bl w:val="nil"/>
            </w:tcBorders>
            <w:tcMar>
              <w:top w:w="0" w:type="dxa"/>
              <w:left w:w="108" w:type="dxa"/>
              <w:bottom w:w="0" w:type="dxa"/>
              <w:right w:w="108" w:type="dxa"/>
            </w:tcMar>
            <w:vAlign w:val="center"/>
          </w:tcPr>
          <w:p w14:paraId="1A10EF4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主要完成人</w:t>
            </w:r>
          </w:p>
        </w:tc>
        <w:tc>
          <w:tcPr>
            <w:tcW w:w="7012" w:type="dxa"/>
            <w:gridSpan w:val="5"/>
            <w:tcBorders>
              <w:tl2br w:val="nil"/>
              <w:tr2bl w:val="nil"/>
            </w:tcBorders>
            <w:tcMar>
              <w:top w:w="0" w:type="dxa"/>
              <w:left w:w="108" w:type="dxa"/>
              <w:bottom w:w="0" w:type="dxa"/>
              <w:right w:w="108" w:type="dxa"/>
            </w:tcMar>
            <w:vAlign w:val="center"/>
          </w:tcPr>
          <w:p w14:paraId="3FB9818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黄老福、陈欣、王旭东、刘斌、白世晗、陈臻、戍国标、蔡松、润一、金子龙、梁佐、黎艳秋、李宇臻、陈钧、杨亚复</w:t>
            </w:r>
          </w:p>
        </w:tc>
      </w:tr>
      <w:tr w14:paraId="172B56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trPr>
        <w:tc>
          <w:tcPr>
            <w:tcW w:w="2076" w:type="dxa"/>
            <w:tcBorders>
              <w:tl2br w:val="nil"/>
              <w:tr2bl w:val="nil"/>
            </w:tcBorders>
            <w:tcMar>
              <w:top w:w="0" w:type="dxa"/>
              <w:left w:w="108" w:type="dxa"/>
              <w:bottom w:w="0" w:type="dxa"/>
              <w:right w:w="108" w:type="dxa"/>
            </w:tcMar>
            <w:vAlign w:val="center"/>
          </w:tcPr>
          <w:p w14:paraId="4EE3B00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鉴定认证、专利与获奖情况等</w:t>
            </w:r>
          </w:p>
        </w:tc>
        <w:tc>
          <w:tcPr>
            <w:tcW w:w="7012" w:type="dxa"/>
            <w:gridSpan w:val="5"/>
            <w:tcBorders>
              <w:tl2br w:val="nil"/>
              <w:tr2bl w:val="nil"/>
            </w:tcBorders>
            <w:tcMar>
              <w:top w:w="0" w:type="dxa"/>
              <w:left w:w="108" w:type="dxa"/>
              <w:bottom w:w="0" w:type="dxa"/>
              <w:right w:w="108" w:type="dxa"/>
            </w:tcMar>
            <w:vAlign w:val="center"/>
          </w:tcPr>
          <w:p w14:paraId="487A993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目前，平台已获得6项软件著作权，分别为：《小型水库物业化管理平台安卓客户端巡逻软件v1.0</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小型水库物业化管理平台后台管理系统v1.0</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小型水库物业化管理平台企业微信端巡逻软件V1.0</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雲水I0T云平台v1.0》、《水库溃坝预演预警平台Web端软件[简称</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水库运行管理平台]v1.0</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水库运行管理平台智慧大屏系统v1.0》。这些软件著作权的获得，充分体现了平台在技术创新和知识产权保护方面的实力。此外，平台正积极申请相关专利，并有望在未来获得更多专利授权。</w:t>
            </w:r>
          </w:p>
        </w:tc>
      </w:tr>
      <w:tr w14:paraId="607F7A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trPr>
        <w:tc>
          <w:tcPr>
            <w:tcW w:w="2076" w:type="dxa"/>
            <w:tcBorders>
              <w:tl2br w:val="nil"/>
              <w:tr2bl w:val="nil"/>
            </w:tcBorders>
            <w:tcMar>
              <w:top w:w="0" w:type="dxa"/>
              <w:left w:w="108" w:type="dxa"/>
              <w:bottom w:w="0" w:type="dxa"/>
              <w:right w:w="108" w:type="dxa"/>
            </w:tcMar>
            <w:vAlign w:val="center"/>
          </w:tcPr>
          <w:p w14:paraId="66397F5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适用范围</w:t>
            </w:r>
          </w:p>
        </w:tc>
        <w:tc>
          <w:tcPr>
            <w:tcW w:w="7012" w:type="dxa"/>
            <w:gridSpan w:val="5"/>
            <w:tcBorders>
              <w:tl2br w:val="nil"/>
              <w:tr2bl w:val="nil"/>
            </w:tcBorders>
            <w:tcMar>
              <w:top w:w="0" w:type="dxa"/>
              <w:left w:w="108" w:type="dxa"/>
              <w:bottom w:w="0" w:type="dxa"/>
              <w:right w:w="108" w:type="dxa"/>
            </w:tcMar>
            <w:vAlign w:val="center"/>
          </w:tcPr>
          <w:p w14:paraId="38816F8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小型水库物业化管理平台主要应用于水库运营管理，包括物业化运作、实时监测水雨情与安全动态、便捷化巡查上报等，显著提升管理效率。同时，该平台也辅助应用于防汛抗洪，通过洪水模拟与预案制定提高应急响应能力；在农业灌溉方面，可实现水量调配，优化水资源管理；并支持政府监督与考核，确保水库管理责任的落实。平台在水库运营管理领域发挥核心作用，并在其他相关应用中展现出显著价值。</w:t>
            </w:r>
          </w:p>
        </w:tc>
      </w:tr>
      <w:tr w14:paraId="24D627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trPr>
        <w:tc>
          <w:tcPr>
            <w:tcW w:w="2076" w:type="dxa"/>
            <w:tcBorders>
              <w:tl2br w:val="nil"/>
              <w:tr2bl w:val="nil"/>
            </w:tcBorders>
            <w:tcMar>
              <w:top w:w="0" w:type="dxa"/>
              <w:left w:w="108" w:type="dxa"/>
              <w:bottom w:w="0" w:type="dxa"/>
              <w:right w:w="108" w:type="dxa"/>
            </w:tcMar>
            <w:vAlign w:val="center"/>
          </w:tcPr>
          <w:p w14:paraId="02817BA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应用工程及效益</w:t>
            </w:r>
          </w:p>
        </w:tc>
        <w:tc>
          <w:tcPr>
            <w:tcW w:w="7012" w:type="dxa"/>
            <w:gridSpan w:val="5"/>
            <w:tcBorders>
              <w:tl2br w:val="nil"/>
              <w:tr2bl w:val="nil"/>
            </w:tcBorders>
            <w:tcMar>
              <w:top w:w="0" w:type="dxa"/>
              <w:left w:w="108" w:type="dxa"/>
              <w:bottom w:w="0" w:type="dxa"/>
              <w:right w:w="108" w:type="dxa"/>
            </w:tcMar>
            <w:vAlign w:val="center"/>
          </w:tcPr>
          <w:p w14:paraId="3152C58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小型水库物业化管理平台在水利工程中展现出显著的应用效益。多地政府及水利部门积极推广此模式，通过专业管护公司对小型水库进行集中统一管理，利用小型水库物业化管理平台实现水库基本信息、巡查日志等台账化管理，并通过智能巡查系统确保水库每个关键点巡查到位，目前，平台已实际应用于云南秀川管理咨询有限公司在全省8州</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市</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、20县</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市、区</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开展的小型水库物业化管理工作中，目前用户共计一千一百余人，服务约900个在巡水库，应用范围还将进一步拓展，在平台使用过程中，获得了使用单位及人员的一致好评。此平台的应用带来了多方面的效益。在安全方面，它提升了水库运行安全，增强了防洪预警能力，确保水库工程安全和度汛安全时时在线。在经济方面，专业化的管护模式降低了维护成本，同时科学调度水库蓄水保障了用水安全，促进了区域经济发展。在社会方面，它改善了周边生态环境，提升了群众对水利工程的满意度和信任度。此外，各地成功实施此模式的经验做法得到了广泛推广，为其他地区提供了借鉴，推动了水利事业高质量发展。</w:t>
            </w:r>
          </w:p>
        </w:tc>
      </w:tr>
    </w:tbl>
    <w:p w14:paraId="38E587AC">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3" w:name="_Toc27305"/>
      <w:r>
        <w:rPr>
          <w:rFonts w:hint="default" w:ascii="宋体" w:hAnsi="宋体" w:cs="Times New Roman"/>
          <w:sz w:val="28"/>
          <w:szCs w:val="28"/>
          <w:lang w:val="en-US" w:eastAsia="zh-CN"/>
        </w:rPr>
        <w:t>1.</w:t>
      </w:r>
      <w:r>
        <w:rPr>
          <w:rFonts w:hint="eastAsia" w:ascii="宋体" w:hAnsi="宋体" w:cs="Times New Roman"/>
          <w:sz w:val="28"/>
          <w:szCs w:val="28"/>
          <w:lang w:val="en-US" w:eastAsia="zh-CN"/>
        </w:rPr>
        <w:t>3</w:t>
      </w:r>
      <w:r>
        <w:rPr>
          <w:rFonts w:hint="default" w:ascii="宋体" w:hAnsi="宋体" w:cs="Times New Roman"/>
          <w:sz w:val="28"/>
          <w:szCs w:val="28"/>
          <w:lang w:val="en-US" w:eastAsia="zh-CN"/>
        </w:rPr>
        <w:t xml:space="preserve"> 数字孪生湖库水质突发污染推演预警平台</w:t>
      </w:r>
      <w:bookmarkEnd w:id="3"/>
    </w:p>
    <w:tbl>
      <w:tblPr>
        <w:tblStyle w:val="28"/>
        <w:tblW w:w="906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48"/>
        <w:gridCol w:w="973"/>
        <w:gridCol w:w="1134"/>
        <w:gridCol w:w="1701"/>
        <w:gridCol w:w="1276"/>
        <w:gridCol w:w="1837"/>
      </w:tblGrid>
      <w:tr w14:paraId="0B6B6E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8" w:type="dxa"/>
            <w:tcBorders>
              <w:tl2br w:val="nil"/>
              <w:tr2bl w:val="nil"/>
            </w:tcBorders>
            <w:tcMar>
              <w:top w:w="0" w:type="dxa"/>
              <w:left w:w="108" w:type="dxa"/>
              <w:bottom w:w="0" w:type="dxa"/>
              <w:right w:w="108" w:type="dxa"/>
            </w:tcMar>
            <w:vAlign w:val="center"/>
          </w:tcPr>
          <w:p w14:paraId="678C29A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技术（产品）名称</w:t>
            </w:r>
          </w:p>
        </w:tc>
        <w:tc>
          <w:tcPr>
            <w:tcW w:w="6921" w:type="dxa"/>
            <w:gridSpan w:val="5"/>
            <w:tcBorders>
              <w:tl2br w:val="nil"/>
              <w:tr2bl w:val="nil"/>
            </w:tcBorders>
            <w:tcMar>
              <w:top w:w="0" w:type="dxa"/>
              <w:left w:w="108" w:type="dxa"/>
              <w:bottom w:w="0" w:type="dxa"/>
              <w:right w:w="108" w:type="dxa"/>
            </w:tcMar>
            <w:vAlign w:val="center"/>
          </w:tcPr>
          <w:p w14:paraId="781A4AE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数字孪生湖库水质突发污染推演预警平台</w:t>
            </w:r>
          </w:p>
        </w:tc>
      </w:tr>
      <w:tr w14:paraId="4C9A90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8" w:type="dxa"/>
            <w:tcBorders>
              <w:tl2br w:val="nil"/>
              <w:tr2bl w:val="nil"/>
            </w:tcBorders>
            <w:tcMar>
              <w:top w:w="0" w:type="dxa"/>
              <w:left w:w="108" w:type="dxa"/>
              <w:bottom w:w="0" w:type="dxa"/>
              <w:right w:w="108" w:type="dxa"/>
            </w:tcMar>
            <w:vAlign w:val="center"/>
          </w:tcPr>
          <w:p w14:paraId="7545BC2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w:t>
            </w:r>
          </w:p>
        </w:tc>
        <w:tc>
          <w:tcPr>
            <w:tcW w:w="6921" w:type="dxa"/>
            <w:gridSpan w:val="5"/>
            <w:tcBorders>
              <w:tl2br w:val="nil"/>
              <w:tr2bl w:val="nil"/>
            </w:tcBorders>
            <w:tcMar>
              <w:top w:w="0" w:type="dxa"/>
              <w:left w:w="108" w:type="dxa"/>
              <w:bottom w:w="0" w:type="dxa"/>
              <w:right w:w="108" w:type="dxa"/>
            </w:tcMar>
            <w:vAlign w:val="center"/>
          </w:tcPr>
          <w:p w14:paraId="20B8175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zh-CN"/>
              </w:rPr>
            </w:pPr>
            <w:r>
              <w:rPr>
                <w:rFonts w:hint="default" w:ascii="宋体" w:hAnsi="宋体" w:eastAsia="宋体" w:cs="Times New Roman"/>
                <w:sz w:val="24"/>
                <w:szCs w:val="24"/>
              </w:rPr>
              <w:t>长江水利委员会长江科学院</w:t>
            </w:r>
          </w:p>
        </w:tc>
      </w:tr>
      <w:tr w14:paraId="6C5C1C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8" w:type="dxa"/>
            <w:tcBorders>
              <w:tl2br w:val="nil"/>
              <w:tr2bl w:val="nil"/>
            </w:tcBorders>
            <w:tcMar>
              <w:top w:w="0" w:type="dxa"/>
              <w:left w:w="108" w:type="dxa"/>
              <w:bottom w:w="0" w:type="dxa"/>
              <w:right w:w="108" w:type="dxa"/>
            </w:tcMar>
            <w:vAlign w:val="center"/>
          </w:tcPr>
          <w:p w14:paraId="4F6BA2F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单位地址</w:t>
            </w:r>
          </w:p>
        </w:tc>
        <w:tc>
          <w:tcPr>
            <w:tcW w:w="3808" w:type="dxa"/>
            <w:gridSpan w:val="3"/>
            <w:tcBorders>
              <w:tl2br w:val="nil"/>
              <w:tr2bl w:val="nil"/>
            </w:tcBorders>
            <w:tcMar>
              <w:top w:w="0" w:type="dxa"/>
              <w:left w:w="108" w:type="dxa"/>
              <w:bottom w:w="0" w:type="dxa"/>
              <w:right w:w="108" w:type="dxa"/>
            </w:tcMar>
            <w:vAlign w:val="center"/>
          </w:tcPr>
          <w:p w14:paraId="1C7DD87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湖北省武汉市黄浦大街23号</w:t>
            </w:r>
          </w:p>
        </w:tc>
        <w:tc>
          <w:tcPr>
            <w:tcW w:w="1276" w:type="dxa"/>
            <w:tcBorders>
              <w:tl2br w:val="nil"/>
              <w:tr2bl w:val="nil"/>
            </w:tcBorders>
            <w:tcMar>
              <w:top w:w="0" w:type="dxa"/>
              <w:left w:w="108" w:type="dxa"/>
              <w:bottom w:w="0" w:type="dxa"/>
              <w:right w:w="108" w:type="dxa"/>
            </w:tcMar>
            <w:vAlign w:val="center"/>
          </w:tcPr>
          <w:p w14:paraId="610A790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邮政编码</w:t>
            </w:r>
          </w:p>
        </w:tc>
        <w:tc>
          <w:tcPr>
            <w:tcW w:w="1837" w:type="dxa"/>
            <w:tcBorders>
              <w:tl2br w:val="nil"/>
              <w:tr2bl w:val="nil"/>
            </w:tcBorders>
            <w:tcMar>
              <w:top w:w="0" w:type="dxa"/>
              <w:left w:w="108" w:type="dxa"/>
              <w:bottom w:w="0" w:type="dxa"/>
              <w:right w:w="108" w:type="dxa"/>
            </w:tcMar>
            <w:vAlign w:val="center"/>
          </w:tcPr>
          <w:p w14:paraId="04D3D54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430010</w:t>
            </w:r>
          </w:p>
        </w:tc>
      </w:tr>
      <w:tr w14:paraId="2E7151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8" w:type="dxa"/>
            <w:tcBorders>
              <w:tl2br w:val="nil"/>
              <w:tr2bl w:val="nil"/>
            </w:tcBorders>
            <w:tcMar>
              <w:top w:w="0" w:type="dxa"/>
              <w:left w:w="108" w:type="dxa"/>
              <w:bottom w:w="0" w:type="dxa"/>
              <w:right w:w="108" w:type="dxa"/>
            </w:tcMar>
            <w:vAlign w:val="center"/>
          </w:tcPr>
          <w:p w14:paraId="6264C12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法人代表</w:t>
            </w:r>
          </w:p>
        </w:tc>
        <w:tc>
          <w:tcPr>
            <w:tcW w:w="973" w:type="dxa"/>
            <w:tcBorders>
              <w:tl2br w:val="nil"/>
              <w:tr2bl w:val="nil"/>
            </w:tcBorders>
            <w:tcMar>
              <w:top w:w="0" w:type="dxa"/>
              <w:left w:w="108" w:type="dxa"/>
              <w:bottom w:w="0" w:type="dxa"/>
              <w:right w:w="108" w:type="dxa"/>
            </w:tcMar>
            <w:vAlign w:val="center"/>
          </w:tcPr>
          <w:p w14:paraId="1E0B336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sz w:val="24"/>
                <w:szCs w:val="24"/>
              </w:rPr>
            </w:pPr>
            <w:r>
              <w:rPr>
                <w:rFonts w:hint="default" w:ascii="宋体" w:hAnsi="宋体" w:eastAsia="宋体" w:cs="Times New Roman"/>
                <w:sz w:val="24"/>
                <w:szCs w:val="24"/>
              </w:rPr>
              <w:t>许全喜</w:t>
            </w:r>
          </w:p>
        </w:tc>
        <w:tc>
          <w:tcPr>
            <w:tcW w:w="1134" w:type="dxa"/>
            <w:tcBorders>
              <w:tl2br w:val="nil"/>
              <w:tr2bl w:val="nil"/>
            </w:tcBorders>
            <w:tcMar>
              <w:top w:w="0" w:type="dxa"/>
              <w:left w:w="108" w:type="dxa"/>
              <w:bottom w:w="0" w:type="dxa"/>
              <w:right w:w="108" w:type="dxa"/>
            </w:tcMar>
            <w:vAlign w:val="center"/>
          </w:tcPr>
          <w:p w14:paraId="5D4310D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职务</w:t>
            </w:r>
          </w:p>
        </w:tc>
        <w:tc>
          <w:tcPr>
            <w:tcW w:w="1701" w:type="dxa"/>
            <w:tcBorders>
              <w:tl2br w:val="nil"/>
              <w:tr2bl w:val="nil"/>
            </w:tcBorders>
            <w:tcMar>
              <w:top w:w="0" w:type="dxa"/>
              <w:left w:w="108" w:type="dxa"/>
              <w:bottom w:w="0" w:type="dxa"/>
              <w:right w:w="108" w:type="dxa"/>
            </w:tcMar>
            <w:vAlign w:val="center"/>
          </w:tcPr>
          <w:p w14:paraId="3D8BA45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院长</w:t>
            </w:r>
          </w:p>
        </w:tc>
        <w:tc>
          <w:tcPr>
            <w:tcW w:w="1276" w:type="dxa"/>
            <w:tcBorders>
              <w:tl2br w:val="nil"/>
              <w:tr2bl w:val="nil"/>
            </w:tcBorders>
            <w:tcMar>
              <w:top w:w="0" w:type="dxa"/>
              <w:left w:w="108" w:type="dxa"/>
              <w:bottom w:w="0" w:type="dxa"/>
              <w:right w:w="108" w:type="dxa"/>
            </w:tcMar>
            <w:vAlign w:val="center"/>
          </w:tcPr>
          <w:p w14:paraId="3DD1AD2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1837" w:type="dxa"/>
            <w:tcBorders>
              <w:tl2br w:val="nil"/>
              <w:tr2bl w:val="nil"/>
            </w:tcBorders>
            <w:tcMar>
              <w:top w:w="0" w:type="dxa"/>
              <w:left w:w="108" w:type="dxa"/>
              <w:bottom w:w="0" w:type="dxa"/>
              <w:right w:w="108" w:type="dxa"/>
            </w:tcMar>
            <w:vAlign w:val="center"/>
          </w:tcPr>
          <w:p w14:paraId="3F22547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027-82929707</w:t>
            </w:r>
          </w:p>
        </w:tc>
      </w:tr>
      <w:tr w14:paraId="2F859C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87" w:hRule="exact"/>
          <w:jc w:val="center"/>
        </w:trPr>
        <w:tc>
          <w:tcPr>
            <w:tcW w:w="2148" w:type="dxa"/>
            <w:tcBorders>
              <w:tl2br w:val="nil"/>
              <w:tr2bl w:val="nil"/>
            </w:tcBorders>
            <w:tcMar>
              <w:top w:w="0" w:type="dxa"/>
              <w:left w:w="108" w:type="dxa"/>
              <w:bottom w:w="0" w:type="dxa"/>
              <w:right w:w="108" w:type="dxa"/>
            </w:tcMar>
            <w:vAlign w:val="center"/>
          </w:tcPr>
          <w:p w14:paraId="72A3BDD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联系人</w:t>
            </w:r>
          </w:p>
        </w:tc>
        <w:tc>
          <w:tcPr>
            <w:tcW w:w="973" w:type="dxa"/>
            <w:tcBorders>
              <w:tl2br w:val="nil"/>
              <w:tr2bl w:val="nil"/>
            </w:tcBorders>
            <w:tcMar>
              <w:top w:w="0" w:type="dxa"/>
              <w:left w:w="108" w:type="dxa"/>
              <w:bottom w:w="0" w:type="dxa"/>
              <w:right w:w="108" w:type="dxa"/>
            </w:tcMar>
            <w:vAlign w:val="center"/>
          </w:tcPr>
          <w:p w14:paraId="74017D9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sz w:val="24"/>
                <w:szCs w:val="24"/>
              </w:rPr>
            </w:pPr>
            <w:r>
              <w:rPr>
                <w:rFonts w:hint="default" w:ascii="宋体" w:hAnsi="宋体" w:eastAsia="宋体" w:cs="Times New Roman"/>
                <w:sz w:val="24"/>
                <w:szCs w:val="24"/>
              </w:rPr>
              <w:t>罗平安</w:t>
            </w:r>
          </w:p>
        </w:tc>
        <w:tc>
          <w:tcPr>
            <w:tcW w:w="1134" w:type="dxa"/>
            <w:tcBorders>
              <w:tl2br w:val="nil"/>
              <w:tr2bl w:val="nil"/>
            </w:tcBorders>
            <w:tcMar>
              <w:top w:w="0" w:type="dxa"/>
              <w:left w:w="108" w:type="dxa"/>
              <w:bottom w:w="0" w:type="dxa"/>
              <w:right w:w="108" w:type="dxa"/>
            </w:tcMar>
            <w:vAlign w:val="center"/>
          </w:tcPr>
          <w:p w14:paraId="4A953D9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1701" w:type="dxa"/>
            <w:tcBorders>
              <w:tl2br w:val="nil"/>
              <w:tr2bl w:val="nil"/>
            </w:tcBorders>
            <w:tcMar>
              <w:top w:w="0" w:type="dxa"/>
              <w:left w:w="108" w:type="dxa"/>
              <w:bottom w:w="0" w:type="dxa"/>
              <w:right w:w="108" w:type="dxa"/>
            </w:tcMar>
            <w:vAlign w:val="center"/>
          </w:tcPr>
          <w:p w14:paraId="152A2AA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027-82828526</w:t>
            </w:r>
          </w:p>
        </w:tc>
        <w:tc>
          <w:tcPr>
            <w:tcW w:w="1276" w:type="dxa"/>
            <w:tcBorders>
              <w:tl2br w:val="nil"/>
              <w:tr2bl w:val="nil"/>
            </w:tcBorders>
            <w:tcMar>
              <w:top w:w="0" w:type="dxa"/>
              <w:left w:w="108" w:type="dxa"/>
              <w:bottom w:w="0" w:type="dxa"/>
              <w:right w:w="108" w:type="dxa"/>
            </w:tcMar>
            <w:vAlign w:val="center"/>
          </w:tcPr>
          <w:p w14:paraId="3DCE1DA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E-mail</w:t>
            </w:r>
          </w:p>
        </w:tc>
        <w:tc>
          <w:tcPr>
            <w:tcW w:w="1837" w:type="dxa"/>
            <w:tcBorders>
              <w:tl2br w:val="nil"/>
              <w:tr2bl w:val="nil"/>
            </w:tcBorders>
            <w:tcMar>
              <w:top w:w="0" w:type="dxa"/>
              <w:left w:w="108" w:type="dxa"/>
              <w:bottom w:w="0" w:type="dxa"/>
              <w:right w:w="108" w:type="dxa"/>
            </w:tcMar>
            <w:vAlign w:val="center"/>
          </w:tcPr>
          <w:p w14:paraId="69CE068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1961697563@qq.com</w:t>
            </w:r>
          </w:p>
        </w:tc>
      </w:tr>
      <w:tr w14:paraId="21D41E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48" w:type="dxa"/>
            <w:tcBorders>
              <w:tl2br w:val="nil"/>
              <w:tr2bl w:val="nil"/>
            </w:tcBorders>
            <w:tcMar>
              <w:top w:w="0" w:type="dxa"/>
              <w:left w:w="108" w:type="dxa"/>
              <w:bottom w:w="0" w:type="dxa"/>
              <w:right w:w="108" w:type="dxa"/>
            </w:tcMar>
            <w:vAlign w:val="center"/>
          </w:tcPr>
          <w:p w14:paraId="24AEE04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持有单位简介</w:t>
            </w:r>
          </w:p>
        </w:tc>
        <w:tc>
          <w:tcPr>
            <w:tcW w:w="6921" w:type="dxa"/>
            <w:gridSpan w:val="5"/>
            <w:tcBorders>
              <w:tl2br w:val="nil"/>
              <w:tr2bl w:val="nil"/>
            </w:tcBorders>
            <w:tcMar>
              <w:top w:w="0" w:type="dxa"/>
              <w:left w:w="108" w:type="dxa"/>
              <w:bottom w:w="0" w:type="dxa"/>
              <w:right w:w="108" w:type="dxa"/>
            </w:tcMar>
            <w:vAlign w:val="center"/>
          </w:tcPr>
          <w:p w14:paraId="51BFBC7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长江科学院创建于1951年10月，拥有11个科技创新基地，承担了三峡、南水北调等200多项大中型水利水电工程建设与生态环境保护的科研工作，以及数字孪生长江、数字孪生丹江口、数字孪生三峡、数字孪生澧水流域、数字孪生江垭皂市等数字孪生流域与工程建设工作。荣获国家、省部级奖励300余项，获授权发明和实用新型专利790余项，登记软件著作权350余项，主编或参编技术标准120余部。</w:t>
            </w:r>
          </w:p>
        </w:tc>
      </w:tr>
      <w:tr w14:paraId="600DE4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48" w:type="dxa"/>
            <w:tcBorders>
              <w:tl2br w:val="nil"/>
              <w:tr2bl w:val="nil"/>
            </w:tcBorders>
            <w:tcMar>
              <w:top w:w="0" w:type="dxa"/>
              <w:left w:w="108" w:type="dxa"/>
              <w:bottom w:w="0" w:type="dxa"/>
              <w:right w:w="108" w:type="dxa"/>
            </w:tcMar>
            <w:vAlign w:val="center"/>
          </w:tcPr>
          <w:p w14:paraId="076C066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技术（产品）简介</w:t>
            </w:r>
          </w:p>
        </w:tc>
        <w:tc>
          <w:tcPr>
            <w:tcW w:w="6921" w:type="dxa"/>
            <w:gridSpan w:val="5"/>
            <w:tcBorders>
              <w:tl2br w:val="nil"/>
              <w:tr2bl w:val="nil"/>
            </w:tcBorders>
            <w:tcMar>
              <w:top w:w="0" w:type="dxa"/>
              <w:left w:w="108" w:type="dxa"/>
              <w:bottom w:w="0" w:type="dxa"/>
              <w:right w:w="108" w:type="dxa"/>
            </w:tcMar>
            <w:vAlign w:val="center"/>
          </w:tcPr>
          <w:p w14:paraId="31A5086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技术依托国家重点研发计划课题和水利部先行先试数字孪生水利工程项目（数字孪生丹江口、数字孪生三峡），针对湖库突发污染应对的管理需求，融合监测感知、机理模型、立体仿真等技术，构建湖库突发污染预测模型，可以实现库（湖）区和入库（湖）支流任意位置、不同污染类型（易溶于水和难溶于水）和排放方式下（瞬时排放、持续排放和间断排放）情景下的突发污染场景快速构建及模拟，自动生成预警信息和处置建议并推送给管理部门。该技术通过耦合三维高精度水动力数学模型和加速算法，模拟精度平均相对误差小于20%，在5分钟内完成8万个计算单元的突发污染快速模拟，基于实测数据和推演成果自动生成加密监测方案和报表，提高工作效率，降低成本。</w:t>
            </w:r>
          </w:p>
        </w:tc>
      </w:tr>
      <w:tr w14:paraId="51B984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48" w:type="dxa"/>
            <w:tcBorders>
              <w:tl2br w:val="nil"/>
              <w:tr2bl w:val="nil"/>
            </w:tcBorders>
            <w:tcMar>
              <w:top w:w="0" w:type="dxa"/>
              <w:left w:w="108" w:type="dxa"/>
              <w:bottom w:w="0" w:type="dxa"/>
              <w:right w:w="108" w:type="dxa"/>
            </w:tcMar>
            <w:vAlign w:val="center"/>
          </w:tcPr>
          <w:p w14:paraId="5550393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主要完成人</w:t>
            </w:r>
          </w:p>
        </w:tc>
        <w:tc>
          <w:tcPr>
            <w:tcW w:w="6921" w:type="dxa"/>
            <w:gridSpan w:val="5"/>
            <w:tcBorders>
              <w:tl2br w:val="nil"/>
              <w:tr2bl w:val="nil"/>
            </w:tcBorders>
            <w:tcMar>
              <w:top w:w="0" w:type="dxa"/>
              <w:left w:w="108" w:type="dxa"/>
              <w:bottom w:w="0" w:type="dxa"/>
              <w:right w:w="108" w:type="dxa"/>
            </w:tcMar>
            <w:vAlign w:val="center"/>
          </w:tcPr>
          <w:p w14:paraId="6639E67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林莉</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靖争</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罗平安</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赵科锋</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李晓萌</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唐见</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翟文亮</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梁梦思</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贡丹丹</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谭皓月</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刘晗</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李鲁丹</w:t>
            </w:r>
          </w:p>
        </w:tc>
      </w:tr>
      <w:tr w14:paraId="769331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48" w:type="dxa"/>
            <w:tcBorders>
              <w:tl2br w:val="nil"/>
              <w:tr2bl w:val="nil"/>
            </w:tcBorders>
            <w:tcMar>
              <w:top w:w="0" w:type="dxa"/>
              <w:left w:w="108" w:type="dxa"/>
              <w:bottom w:w="0" w:type="dxa"/>
              <w:right w:w="108" w:type="dxa"/>
            </w:tcMar>
            <w:vAlign w:val="center"/>
          </w:tcPr>
          <w:p w14:paraId="7ABCCCA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鉴定认证、专利与获奖情况等</w:t>
            </w:r>
          </w:p>
        </w:tc>
        <w:tc>
          <w:tcPr>
            <w:tcW w:w="6921" w:type="dxa"/>
            <w:gridSpan w:val="5"/>
            <w:tcBorders>
              <w:tl2br w:val="nil"/>
              <w:tr2bl w:val="nil"/>
            </w:tcBorders>
            <w:tcMar>
              <w:top w:w="0" w:type="dxa"/>
              <w:left w:w="108" w:type="dxa"/>
              <w:bottom w:w="0" w:type="dxa"/>
              <w:right w:w="108" w:type="dxa"/>
            </w:tcMar>
            <w:vAlign w:val="center"/>
          </w:tcPr>
          <w:p w14:paraId="5E13DC5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依托“数字孪生湖库水质突发污染推演预警”技术，研发的“数字孪生丹江口工程先行先试建设”相关技术经院士级专家评审，评定为国际领先水平；通过突发污染推演技术融合与集成，补齐了丹江口突发污染预测推演分析的空白，研发的“数字孪生丹江口水质安全模型平台与‘四预’业务”入选《数字孪生流域建设先行先试应用案例推荐名录（2022年）》、研发的“丹江口工程数字孪生平台与‘四预’智能业务应用”入选《水利部数字孪生水利建设典型案例名录》，基于水质突发污染推演技术结合数字孪生先行先试建设，获批《数字孪生水利建设十大样板名单（2023年）》。</w:t>
            </w:r>
          </w:p>
          <w:p w14:paraId="7604E83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通过攻关，该技术已获得多项成果，立项1项水利学会团体标准，发表2篇核心论文，授权3项发明专利，获取4项软件著作权，获得3项成果奖励。相关成果获新闻联播、中国新闻网、中国日报网、中国水利网、人民长江报等多家主流媒体报道。</w:t>
            </w:r>
          </w:p>
        </w:tc>
      </w:tr>
      <w:tr w14:paraId="02CA4F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48" w:type="dxa"/>
            <w:tcBorders>
              <w:tl2br w:val="nil"/>
              <w:tr2bl w:val="nil"/>
            </w:tcBorders>
            <w:tcMar>
              <w:top w:w="0" w:type="dxa"/>
              <w:left w:w="108" w:type="dxa"/>
              <w:bottom w:w="0" w:type="dxa"/>
              <w:right w:w="108" w:type="dxa"/>
            </w:tcMar>
            <w:vAlign w:val="center"/>
          </w:tcPr>
          <w:p w14:paraId="7E0A72A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适用范围</w:t>
            </w:r>
          </w:p>
        </w:tc>
        <w:tc>
          <w:tcPr>
            <w:tcW w:w="6921" w:type="dxa"/>
            <w:gridSpan w:val="5"/>
            <w:tcBorders>
              <w:tl2br w:val="nil"/>
              <w:tr2bl w:val="nil"/>
            </w:tcBorders>
            <w:tcMar>
              <w:top w:w="0" w:type="dxa"/>
              <w:left w:w="108" w:type="dxa"/>
              <w:bottom w:w="0" w:type="dxa"/>
              <w:right w:w="108" w:type="dxa"/>
            </w:tcMar>
            <w:vAlign w:val="center"/>
          </w:tcPr>
          <w:p w14:paraId="485F3BD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技术针对性地适用于湖泊、水库和入湖（库）支流任意位置、不同污染类型（易溶于水和难溶于水）和排放方式下（瞬时排放、持续排放和间断排放）情景下的突发污染场景快速构建及模拟，自动生成预警信息和处置建议，并根据需求可推送至管理部门。</w:t>
            </w:r>
          </w:p>
        </w:tc>
      </w:tr>
      <w:tr w14:paraId="776B05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48" w:type="dxa"/>
            <w:tcBorders>
              <w:tl2br w:val="nil"/>
              <w:tr2bl w:val="nil"/>
            </w:tcBorders>
            <w:tcMar>
              <w:top w:w="0" w:type="dxa"/>
              <w:left w:w="108" w:type="dxa"/>
              <w:bottom w:w="0" w:type="dxa"/>
              <w:right w:w="108" w:type="dxa"/>
            </w:tcMar>
            <w:vAlign w:val="center"/>
          </w:tcPr>
          <w:p w14:paraId="45F22B1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应用工程及效益</w:t>
            </w:r>
          </w:p>
        </w:tc>
        <w:tc>
          <w:tcPr>
            <w:tcW w:w="6921" w:type="dxa"/>
            <w:gridSpan w:val="5"/>
            <w:tcBorders>
              <w:tl2br w:val="nil"/>
              <w:tr2bl w:val="nil"/>
            </w:tcBorders>
            <w:tcMar>
              <w:top w:w="0" w:type="dxa"/>
              <w:left w:w="108" w:type="dxa"/>
              <w:bottom w:w="0" w:type="dxa"/>
              <w:right w:w="108" w:type="dxa"/>
            </w:tcMar>
            <w:vAlign w:val="center"/>
          </w:tcPr>
          <w:p w14:paraId="036F746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1、荆紫关锑浓度超标应急监测模拟推演</w:t>
            </w:r>
          </w:p>
          <w:p w14:paraId="69F5402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湖库水质突发污染推演预警技术，开发构建了丹江口水库入库支流丹江锑污染超标模拟模型及预警技术，利用该模型与预警技术对2023年8月丹江发生的锑超标突发污染事件进行了模拟推演，逐日预演未来15天内此次事件对库区水质影响，研判突发污染事件对丹江口水库供水的影响。</w:t>
            </w:r>
          </w:p>
          <w:p w14:paraId="62F77C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2、丹江口水库170m秋汛蓄水</w:t>
            </w:r>
          </w:p>
          <w:p w14:paraId="32B0F66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利用水质突发污染推演预警技术研发的数字孪生丹江口工程是我国首个在大型水库满蓄中深度运用的数字孪生工程，基于数字孪生丹江口水质模型，实现洪水期水质滚动推演与跟踪分析，为保障汉江秋汛防御与丹江口水库170m蓄水过程中的库区水质安全提供科学支撑。</w:t>
            </w:r>
          </w:p>
          <w:p w14:paraId="5C1B13A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3、老灌河锑污染</w:t>
            </w:r>
          </w:p>
          <w:p w14:paraId="1E4B282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利用湖库水质突发污染推演预警技术预测了老灌河石门水库不同下泄流量、锑浓度条件下对库区水质的影响，提出加密监测方案，评估筑坝拦截、水质净化絮凝剂投放的削污效果。分析结论与2021年上报水利部《关于报送老灌河锑污染事件影响模拟报告的函》结论一致。</w:t>
            </w:r>
          </w:p>
          <w:p w14:paraId="79E8936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4、泗河突发水污染推演</w:t>
            </w:r>
          </w:p>
          <w:p w14:paraId="2DC507C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基于湖库水质突发污染推演预警技术研发的数字孪生丹江口水质安全平台，针对泗河氨氮突发污染事件进行了模拟复演，预测推演了超标污染物氨氮的迁移变化规律，为应急监测方案的制定提供了支撑。</w:t>
            </w:r>
          </w:p>
        </w:tc>
      </w:tr>
    </w:tbl>
    <w:p w14:paraId="59A9D356">
      <w:pPr>
        <w:pStyle w:val="3"/>
        <w:keepNext/>
        <w:keepLines/>
        <w:pageBreakBefore/>
        <w:widowControl/>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cs="Times New Roman"/>
          <w:sz w:val="28"/>
          <w:szCs w:val="28"/>
          <w:lang w:val="en-US" w:eastAsia="zh-CN"/>
        </w:rPr>
      </w:pPr>
      <w:bookmarkStart w:id="4" w:name="_Toc26982"/>
      <w:r>
        <w:rPr>
          <w:rFonts w:hint="default" w:ascii="宋体" w:hAnsi="宋体" w:cs="Times New Roman"/>
          <w:sz w:val="28"/>
          <w:szCs w:val="28"/>
          <w:lang w:val="en-US" w:eastAsia="zh-CN"/>
        </w:rPr>
        <w:t>先进计量仪器及设备</w:t>
      </w:r>
      <w:bookmarkEnd w:id="4"/>
    </w:p>
    <w:p w14:paraId="63FC342B">
      <w:pPr>
        <w:pStyle w:val="4"/>
        <w:keepNext/>
        <w:keepLines/>
        <w:pageBreakBefore w:val="0"/>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5" w:name="_Toc4145"/>
      <w:r>
        <w:rPr>
          <w:rFonts w:hint="default" w:ascii="宋体" w:hAnsi="宋体" w:cs="Times New Roman"/>
          <w:sz w:val="28"/>
          <w:szCs w:val="28"/>
          <w:lang w:val="en-US" w:eastAsia="zh-CN"/>
        </w:rPr>
        <w:t>2.1 高效率脱氮除磷的污水处理设备</w:t>
      </w:r>
      <w:bookmarkEnd w:id="5"/>
    </w:p>
    <w:tbl>
      <w:tblPr>
        <w:tblStyle w:val="28"/>
        <w:tblW w:w="92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058"/>
        <w:gridCol w:w="1347"/>
        <w:gridCol w:w="991"/>
        <w:gridCol w:w="1568"/>
        <w:gridCol w:w="1334"/>
        <w:gridCol w:w="2001"/>
      </w:tblGrid>
      <w:tr w14:paraId="7C5224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58" w:type="dxa"/>
            <w:tcBorders>
              <w:tl2br w:val="nil"/>
              <w:tr2bl w:val="nil"/>
            </w:tcBorders>
            <w:tcMar>
              <w:top w:w="0" w:type="dxa"/>
              <w:left w:w="108" w:type="dxa"/>
              <w:bottom w:w="0" w:type="dxa"/>
              <w:right w:w="108" w:type="dxa"/>
            </w:tcMar>
            <w:vAlign w:val="center"/>
          </w:tcPr>
          <w:p w14:paraId="559002D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241" w:type="dxa"/>
            <w:gridSpan w:val="5"/>
            <w:tcBorders>
              <w:tl2br w:val="nil"/>
              <w:tr2bl w:val="nil"/>
            </w:tcBorders>
            <w:tcMar>
              <w:top w:w="0" w:type="dxa"/>
              <w:left w:w="108" w:type="dxa"/>
              <w:bottom w:w="0" w:type="dxa"/>
              <w:right w:w="108" w:type="dxa"/>
            </w:tcMar>
            <w:vAlign w:val="center"/>
          </w:tcPr>
          <w:p w14:paraId="605B1657">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bidi="ar-SA"/>
              </w:rPr>
              <w:t>高效率脱氮除磷的污水处理设备</w:t>
            </w:r>
          </w:p>
        </w:tc>
      </w:tr>
      <w:tr w14:paraId="540690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58" w:type="dxa"/>
            <w:tcBorders>
              <w:tl2br w:val="nil"/>
              <w:tr2bl w:val="nil"/>
            </w:tcBorders>
            <w:tcMar>
              <w:top w:w="0" w:type="dxa"/>
              <w:left w:w="108" w:type="dxa"/>
              <w:bottom w:w="0" w:type="dxa"/>
              <w:right w:w="108" w:type="dxa"/>
            </w:tcMar>
            <w:vAlign w:val="center"/>
          </w:tcPr>
          <w:p w14:paraId="44F3FD0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241" w:type="dxa"/>
            <w:gridSpan w:val="5"/>
            <w:tcBorders>
              <w:tl2br w:val="nil"/>
              <w:tr2bl w:val="nil"/>
            </w:tcBorders>
            <w:tcMar>
              <w:top w:w="0" w:type="dxa"/>
              <w:left w:w="108" w:type="dxa"/>
              <w:bottom w:w="0" w:type="dxa"/>
              <w:right w:w="108" w:type="dxa"/>
            </w:tcMar>
            <w:vAlign w:val="center"/>
          </w:tcPr>
          <w:p w14:paraId="2EE622A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bidi="ar-SA"/>
              </w:rPr>
              <w:t>青岛鑫源环保集团有限公司</w:t>
            </w:r>
          </w:p>
        </w:tc>
      </w:tr>
      <w:tr w14:paraId="250A53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58" w:type="dxa"/>
            <w:tcBorders>
              <w:tl2br w:val="nil"/>
              <w:tr2bl w:val="nil"/>
            </w:tcBorders>
            <w:tcMar>
              <w:top w:w="0" w:type="dxa"/>
              <w:left w:w="108" w:type="dxa"/>
              <w:bottom w:w="0" w:type="dxa"/>
              <w:right w:w="108" w:type="dxa"/>
            </w:tcMar>
            <w:vAlign w:val="center"/>
          </w:tcPr>
          <w:p w14:paraId="3C5DF78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3906" w:type="dxa"/>
            <w:gridSpan w:val="3"/>
            <w:tcBorders>
              <w:tl2br w:val="nil"/>
              <w:tr2bl w:val="nil"/>
            </w:tcBorders>
            <w:tcMar>
              <w:top w:w="0" w:type="dxa"/>
              <w:left w:w="108" w:type="dxa"/>
              <w:bottom w:w="0" w:type="dxa"/>
              <w:right w:w="108" w:type="dxa"/>
            </w:tcMar>
            <w:vAlign w:val="center"/>
          </w:tcPr>
          <w:p w14:paraId="4AE547B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山东省青岛市高新区正源路35号</w:t>
            </w:r>
          </w:p>
        </w:tc>
        <w:tc>
          <w:tcPr>
            <w:tcW w:w="1334" w:type="dxa"/>
            <w:tcBorders>
              <w:tl2br w:val="nil"/>
              <w:tr2bl w:val="nil"/>
            </w:tcBorders>
            <w:tcMar>
              <w:top w:w="0" w:type="dxa"/>
              <w:left w:w="108" w:type="dxa"/>
              <w:bottom w:w="0" w:type="dxa"/>
              <w:right w:w="108" w:type="dxa"/>
            </w:tcMar>
            <w:vAlign w:val="center"/>
          </w:tcPr>
          <w:p w14:paraId="76C4F79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2001" w:type="dxa"/>
            <w:tcBorders>
              <w:tl2br w:val="nil"/>
              <w:tr2bl w:val="nil"/>
            </w:tcBorders>
            <w:tcMar>
              <w:top w:w="0" w:type="dxa"/>
              <w:left w:w="108" w:type="dxa"/>
              <w:bottom w:w="0" w:type="dxa"/>
              <w:right w:w="108" w:type="dxa"/>
            </w:tcMar>
            <w:vAlign w:val="top"/>
          </w:tcPr>
          <w:p w14:paraId="61B2966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266111</w:t>
            </w:r>
          </w:p>
        </w:tc>
      </w:tr>
      <w:tr w14:paraId="0DA726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58" w:type="dxa"/>
            <w:tcBorders>
              <w:tl2br w:val="nil"/>
              <w:tr2bl w:val="nil"/>
            </w:tcBorders>
            <w:tcMar>
              <w:top w:w="0" w:type="dxa"/>
              <w:left w:w="108" w:type="dxa"/>
              <w:bottom w:w="0" w:type="dxa"/>
              <w:right w:w="108" w:type="dxa"/>
            </w:tcMar>
            <w:vAlign w:val="center"/>
          </w:tcPr>
          <w:p w14:paraId="1576CDD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347" w:type="dxa"/>
            <w:tcBorders>
              <w:tl2br w:val="nil"/>
              <w:tr2bl w:val="nil"/>
            </w:tcBorders>
            <w:tcMar>
              <w:top w:w="0" w:type="dxa"/>
              <w:left w:w="108" w:type="dxa"/>
              <w:bottom w:w="0" w:type="dxa"/>
              <w:right w:w="108" w:type="dxa"/>
            </w:tcMar>
            <w:vAlign w:val="center"/>
          </w:tcPr>
          <w:p w14:paraId="00E2812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孙振坤</w:t>
            </w:r>
          </w:p>
        </w:tc>
        <w:tc>
          <w:tcPr>
            <w:tcW w:w="991" w:type="dxa"/>
            <w:tcBorders>
              <w:tl2br w:val="nil"/>
              <w:tr2bl w:val="nil"/>
            </w:tcBorders>
            <w:tcMar>
              <w:top w:w="0" w:type="dxa"/>
              <w:left w:w="108" w:type="dxa"/>
              <w:bottom w:w="0" w:type="dxa"/>
              <w:right w:w="108" w:type="dxa"/>
            </w:tcMar>
            <w:vAlign w:val="center"/>
          </w:tcPr>
          <w:p w14:paraId="0202B9F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568" w:type="dxa"/>
            <w:tcBorders>
              <w:tl2br w:val="nil"/>
              <w:tr2bl w:val="nil"/>
            </w:tcBorders>
            <w:tcMar>
              <w:top w:w="0" w:type="dxa"/>
              <w:left w:w="108" w:type="dxa"/>
              <w:bottom w:w="0" w:type="dxa"/>
              <w:right w:w="108" w:type="dxa"/>
            </w:tcMar>
            <w:vAlign w:val="center"/>
          </w:tcPr>
          <w:p w14:paraId="445E474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董事长</w:t>
            </w:r>
          </w:p>
        </w:tc>
        <w:tc>
          <w:tcPr>
            <w:tcW w:w="1334" w:type="dxa"/>
            <w:tcBorders>
              <w:tl2br w:val="nil"/>
              <w:tr2bl w:val="nil"/>
            </w:tcBorders>
            <w:tcMar>
              <w:top w:w="0" w:type="dxa"/>
              <w:left w:w="108" w:type="dxa"/>
              <w:bottom w:w="0" w:type="dxa"/>
              <w:right w:w="108" w:type="dxa"/>
            </w:tcMar>
            <w:vAlign w:val="center"/>
          </w:tcPr>
          <w:p w14:paraId="4DEE91B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2001" w:type="dxa"/>
            <w:tcBorders>
              <w:tl2br w:val="nil"/>
              <w:tr2bl w:val="nil"/>
            </w:tcBorders>
            <w:tcMar>
              <w:top w:w="0" w:type="dxa"/>
              <w:left w:w="108" w:type="dxa"/>
              <w:bottom w:w="0" w:type="dxa"/>
              <w:right w:w="108" w:type="dxa"/>
            </w:tcMar>
            <w:vAlign w:val="center"/>
          </w:tcPr>
          <w:p w14:paraId="7FBDE89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0532</w:t>
            </w:r>
            <w:r>
              <w:rPr>
                <w:rFonts w:hint="eastAsia" w:ascii="宋体" w:hAnsi="宋体" w:cs="Times New Roman" w:eastAsiaTheme="minorEastAsia"/>
                <w:kern w:val="0"/>
                <w:sz w:val="24"/>
                <w:szCs w:val="24"/>
                <w:lang w:val="en-US" w:eastAsia="zh-CN"/>
              </w:rPr>
              <w:t>-</w:t>
            </w:r>
            <w:r>
              <w:rPr>
                <w:rFonts w:hint="default" w:ascii="宋体" w:hAnsi="宋体" w:cs="Times New Roman" w:eastAsiaTheme="minorEastAsia"/>
                <w:kern w:val="0"/>
                <w:sz w:val="24"/>
                <w:szCs w:val="24"/>
                <w:lang w:val="en-US" w:eastAsia="zh-CN"/>
              </w:rPr>
              <w:t>87700037</w:t>
            </w:r>
          </w:p>
        </w:tc>
      </w:tr>
      <w:tr w14:paraId="72104B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87" w:hRule="exact"/>
          <w:jc w:val="center"/>
        </w:trPr>
        <w:tc>
          <w:tcPr>
            <w:tcW w:w="2058" w:type="dxa"/>
            <w:tcBorders>
              <w:tl2br w:val="nil"/>
              <w:tr2bl w:val="nil"/>
            </w:tcBorders>
            <w:tcMar>
              <w:top w:w="0" w:type="dxa"/>
              <w:left w:w="108" w:type="dxa"/>
              <w:bottom w:w="0" w:type="dxa"/>
              <w:right w:w="108" w:type="dxa"/>
            </w:tcMar>
            <w:vAlign w:val="center"/>
          </w:tcPr>
          <w:p w14:paraId="6D9955E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347" w:type="dxa"/>
            <w:tcBorders>
              <w:tl2br w:val="nil"/>
              <w:tr2bl w:val="nil"/>
            </w:tcBorders>
            <w:tcMar>
              <w:top w:w="0" w:type="dxa"/>
              <w:left w:w="108" w:type="dxa"/>
              <w:bottom w:w="0" w:type="dxa"/>
              <w:right w:w="108" w:type="dxa"/>
            </w:tcMar>
            <w:vAlign w:val="center"/>
          </w:tcPr>
          <w:p w14:paraId="49C0083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吴莹</w:t>
            </w:r>
          </w:p>
        </w:tc>
        <w:tc>
          <w:tcPr>
            <w:tcW w:w="991" w:type="dxa"/>
            <w:tcBorders>
              <w:tl2br w:val="nil"/>
              <w:tr2bl w:val="nil"/>
            </w:tcBorders>
            <w:tcMar>
              <w:top w:w="0" w:type="dxa"/>
              <w:left w:w="108" w:type="dxa"/>
              <w:bottom w:w="0" w:type="dxa"/>
              <w:right w:w="108" w:type="dxa"/>
            </w:tcMar>
            <w:vAlign w:val="center"/>
          </w:tcPr>
          <w:p w14:paraId="4F2F4A1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68" w:type="dxa"/>
            <w:tcBorders>
              <w:tl2br w:val="nil"/>
              <w:tr2bl w:val="nil"/>
            </w:tcBorders>
            <w:tcMar>
              <w:top w:w="0" w:type="dxa"/>
              <w:left w:w="108" w:type="dxa"/>
              <w:bottom w:w="0" w:type="dxa"/>
              <w:right w:w="108" w:type="dxa"/>
            </w:tcMar>
            <w:vAlign w:val="center"/>
          </w:tcPr>
          <w:p w14:paraId="1AAC08F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0532</w:t>
            </w:r>
            <w:r>
              <w:rPr>
                <w:rFonts w:hint="eastAsia" w:ascii="宋体" w:hAnsi="宋体" w:cs="Times New Roman" w:eastAsiaTheme="minorEastAsia"/>
                <w:kern w:val="0"/>
                <w:sz w:val="24"/>
                <w:szCs w:val="24"/>
                <w:lang w:val="en-US" w:eastAsia="zh-CN"/>
              </w:rPr>
              <w:t>-</w:t>
            </w:r>
            <w:r>
              <w:rPr>
                <w:rFonts w:hint="default" w:ascii="宋体" w:hAnsi="宋体" w:cs="Times New Roman" w:eastAsiaTheme="minorEastAsia"/>
                <w:kern w:val="0"/>
                <w:sz w:val="24"/>
                <w:szCs w:val="24"/>
                <w:lang w:val="en-US" w:eastAsia="zh-CN"/>
              </w:rPr>
              <w:t>87700037</w:t>
            </w:r>
          </w:p>
        </w:tc>
        <w:tc>
          <w:tcPr>
            <w:tcW w:w="1334" w:type="dxa"/>
            <w:tcBorders>
              <w:tl2br w:val="nil"/>
              <w:tr2bl w:val="nil"/>
            </w:tcBorders>
            <w:tcMar>
              <w:top w:w="0" w:type="dxa"/>
              <w:left w:w="108" w:type="dxa"/>
              <w:bottom w:w="0" w:type="dxa"/>
              <w:right w:w="108" w:type="dxa"/>
            </w:tcMar>
            <w:vAlign w:val="center"/>
          </w:tcPr>
          <w:p w14:paraId="714142A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2001" w:type="dxa"/>
            <w:tcBorders>
              <w:tl2br w:val="nil"/>
              <w:tr2bl w:val="nil"/>
            </w:tcBorders>
            <w:tcMar>
              <w:top w:w="0" w:type="dxa"/>
              <w:left w:w="108" w:type="dxa"/>
              <w:bottom w:w="0" w:type="dxa"/>
              <w:right w:w="108" w:type="dxa"/>
            </w:tcMar>
            <w:vAlign w:val="center"/>
          </w:tcPr>
          <w:p w14:paraId="2628826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xinyuanep@xinyuanep.com</w:t>
            </w:r>
          </w:p>
        </w:tc>
      </w:tr>
      <w:tr w14:paraId="092D31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058" w:type="dxa"/>
            <w:tcBorders>
              <w:tl2br w:val="nil"/>
              <w:tr2bl w:val="nil"/>
            </w:tcBorders>
            <w:tcMar>
              <w:top w:w="0" w:type="dxa"/>
              <w:left w:w="108" w:type="dxa"/>
              <w:bottom w:w="0" w:type="dxa"/>
              <w:right w:w="108" w:type="dxa"/>
            </w:tcMar>
            <w:vAlign w:val="center"/>
          </w:tcPr>
          <w:p w14:paraId="4A48E3B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241" w:type="dxa"/>
            <w:gridSpan w:val="5"/>
            <w:tcBorders>
              <w:tl2br w:val="nil"/>
              <w:tr2bl w:val="nil"/>
            </w:tcBorders>
            <w:tcMar>
              <w:top w:w="0" w:type="dxa"/>
              <w:left w:w="108" w:type="dxa"/>
              <w:bottom w:w="0" w:type="dxa"/>
              <w:right w:w="108" w:type="dxa"/>
            </w:tcMar>
            <w:vAlign w:val="center"/>
          </w:tcPr>
          <w:p w14:paraId="1254B3C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青岛鑫源环保集团有限公司成立于2009年5月，注册资本金7800万元，位于青岛市城阳区正源路35号，企业总占地面积69300㎡，成立有安顺尚源水科技有限公司、大理尚源环保科技有限公司等全资子公司。集团是集水技术引进、研发、设备制造、水环境治理、市政水厂总承包、投资与运营（EPC、特许经营或股权合作等模式）为一体的综合性高新技术企业。</w:t>
            </w:r>
          </w:p>
        </w:tc>
      </w:tr>
      <w:tr w14:paraId="0F0131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11" w:hRule="atLeast"/>
          <w:jc w:val="center"/>
        </w:trPr>
        <w:tc>
          <w:tcPr>
            <w:tcW w:w="2058" w:type="dxa"/>
            <w:tcBorders>
              <w:tl2br w:val="nil"/>
              <w:tr2bl w:val="nil"/>
            </w:tcBorders>
            <w:tcMar>
              <w:top w:w="0" w:type="dxa"/>
              <w:left w:w="108" w:type="dxa"/>
              <w:bottom w:w="0" w:type="dxa"/>
              <w:right w:w="108" w:type="dxa"/>
            </w:tcMar>
            <w:vAlign w:val="center"/>
          </w:tcPr>
          <w:p w14:paraId="0235A02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7241" w:type="dxa"/>
            <w:gridSpan w:val="5"/>
            <w:tcBorders>
              <w:tl2br w:val="nil"/>
              <w:tr2bl w:val="nil"/>
            </w:tcBorders>
            <w:tcMar>
              <w:top w:w="0" w:type="dxa"/>
              <w:left w:w="108" w:type="dxa"/>
              <w:bottom w:w="0" w:type="dxa"/>
              <w:right w:w="108" w:type="dxa"/>
            </w:tcMar>
            <w:vAlign w:val="center"/>
          </w:tcPr>
          <w:p w14:paraId="146B67E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生化处理模块含厌氧、缺氧和好氧反应区，兼顾同步脱氮除磷处理功能。在传统活性污泥法基础上，通过向各功能反应区投加高效微生物膜载体，实现微生物的附着生长及数量加倍，可有效提供提升系统反应效率，达到高效净化污水的目标。一种高效率脱氮除磷的污水处理装置，</w:t>
            </w:r>
            <w:r>
              <w:rPr>
                <w:rFonts w:hint="eastAsia" w:ascii="宋体" w:hAnsi="宋体" w:eastAsia="宋体" w:cs="Times New Roman"/>
                <w:kern w:val="0"/>
                <w:sz w:val="24"/>
                <w:szCs w:val="24"/>
                <w:lang w:val="en-US" w:eastAsia="zh-CN" w:bidi="ar-SA"/>
              </w:rPr>
              <w:t>涉及</w:t>
            </w:r>
            <w:r>
              <w:rPr>
                <w:rFonts w:hint="default" w:ascii="宋体" w:hAnsi="宋体" w:eastAsia="宋体" w:cs="Times New Roman"/>
                <w:kern w:val="0"/>
                <w:sz w:val="24"/>
                <w:szCs w:val="24"/>
                <w:lang w:val="en-US" w:eastAsia="zh-CN" w:bidi="ar-SA"/>
              </w:rPr>
              <w:t>污水处理领域，包括挖泥铲，挖泥铲的其中一侧固定连接有倾斜三角块，挖泥铲的内部设置有过滤组件，过滤组件包括过滤板，过滤板固定连接在挖泥铲的内部，过滤板靠近倾斜三角块的一侧开设有多个过滤孔，挖泥铲的内部开设有多个第一分离孔，挖泥铲的两侧均转动连接有转动轴，挖泥铲远离过滤板的一侧固定连接有橡胶板。本发明设置了过滤组件，利用过滤组件的设计，过滤板与过滤孔，两者相互配合，在驱动组件的作用下，挖泥铲将污水铲</w:t>
            </w:r>
            <w:r>
              <w:rPr>
                <w:rFonts w:hint="eastAsia" w:ascii="宋体" w:hAnsi="宋体" w:eastAsia="宋体" w:cs="Times New Roman"/>
                <w:kern w:val="0"/>
                <w:sz w:val="24"/>
                <w:szCs w:val="24"/>
                <w:lang w:val="en-US" w:eastAsia="zh-CN" w:bidi="ar-SA"/>
              </w:rPr>
              <w:t>除</w:t>
            </w:r>
            <w:r>
              <w:rPr>
                <w:rFonts w:hint="default" w:ascii="宋体" w:hAnsi="宋体" w:eastAsia="宋体" w:cs="Times New Roman"/>
                <w:kern w:val="0"/>
                <w:sz w:val="24"/>
                <w:szCs w:val="24"/>
                <w:lang w:val="en-US" w:eastAsia="zh-CN" w:bidi="ar-SA"/>
              </w:rPr>
              <w:t>后，受力进行转动，而挖泥铲发生倾斜，使挖泥铲内部的污水向靠近过滤板的位置进行堆积，有助于将污水的碎石进行过滤处理，对污泥收集。</w:t>
            </w:r>
          </w:p>
        </w:tc>
      </w:tr>
      <w:tr w14:paraId="4660E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058" w:type="dxa"/>
            <w:tcBorders>
              <w:tl2br w:val="nil"/>
              <w:tr2bl w:val="nil"/>
            </w:tcBorders>
            <w:tcMar>
              <w:top w:w="0" w:type="dxa"/>
              <w:left w:w="108" w:type="dxa"/>
              <w:bottom w:w="0" w:type="dxa"/>
              <w:right w:w="108" w:type="dxa"/>
            </w:tcMar>
            <w:vAlign w:val="center"/>
          </w:tcPr>
          <w:p w14:paraId="454807E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7241" w:type="dxa"/>
            <w:gridSpan w:val="5"/>
            <w:tcBorders>
              <w:tl2br w:val="nil"/>
              <w:tr2bl w:val="nil"/>
            </w:tcBorders>
            <w:tcMar>
              <w:top w:w="0" w:type="dxa"/>
              <w:left w:w="108" w:type="dxa"/>
              <w:bottom w:w="0" w:type="dxa"/>
              <w:right w:w="108" w:type="dxa"/>
            </w:tcMar>
            <w:vAlign w:val="center"/>
          </w:tcPr>
          <w:p w14:paraId="1EA66A8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bidi="ar-SA"/>
              </w:rPr>
              <w:t>孙振坤</w:t>
            </w:r>
          </w:p>
        </w:tc>
      </w:tr>
      <w:tr w14:paraId="3FB4CE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058" w:type="dxa"/>
            <w:tcBorders>
              <w:tl2br w:val="nil"/>
              <w:tr2bl w:val="nil"/>
            </w:tcBorders>
            <w:tcMar>
              <w:top w:w="0" w:type="dxa"/>
              <w:left w:w="108" w:type="dxa"/>
              <w:bottom w:w="0" w:type="dxa"/>
              <w:right w:w="108" w:type="dxa"/>
            </w:tcMar>
            <w:vAlign w:val="center"/>
          </w:tcPr>
          <w:p w14:paraId="4644A65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241" w:type="dxa"/>
            <w:gridSpan w:val="5"/>
            <w:tcBorders>
              <w:tl2br w:val="nil"/>
              <w:tr2bl w:val="nil"/>
            </w:tcBorders>
            <w:tcMar>
              <w:top w:w="0" w:type="dxa"/>
              <w:left w:w="108" w:type="dxa"/>
              <w:bottom w:w="0" w:type="dxa"/>
              <w:right w:w="108" w:type="dxa"/>
            </w:tcMar>
            <w:vAlign w:val="center"/>
          </w:tcPr>
          <w:p w14:paraId="378C355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已取得发明专利3项</w:t>
            </w:r>
          </w:p>
        </w:tc>
      </w:tr>
      <w:tr w14:paraId="2B962A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058" w:type="dxa"/>
            <w:tcBorders>
              <w:tl2br w:val="nil"/>
              <w:tr2bl w:val="nil"/>
            </w:tcBorders>
            <w:tcMar>
              <w:top w:w="0" w:type="dxa"/>
              <w:left w:w="108" w:type="dxa"/>
              <w:bottom w:w="0" w:type="dxa"/>
              <w:right w:w="108" w:type="dxa"/>
            </w:tcMar>
            <w:vAlign w:val="center"/>
          </w:tcPr>
          <w:p w14:paraId="361FE5C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241" w:type="dxa"/>
            <w:gridSpan w:val="5"/>
            <w:tcBorders>
              <w:tl2br w:val="nil"/>
              <w:tr2bl w:val="nil"/>
            </w:tcBorders>
            <w:tcMar>
              <w:top w:w="0" w:type="dxa"/>
              <w:left w:w="108" w:type="dxa"/>
              <w:bottom w:w="0" w:type="dxa"/>
              <w:right w:w="108" w:type="dxa"/>
            </w:tcMar>
            <w:vAlign w:val="center"/>
          </w:tcPr>
          <w:p w14:paraId="39BA781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现有的一些污水处理装置在处理污水后直接对污泥进行收集处理，而污泥中含有一些碎石，会掺杂在一起共同进行收集，收集后</w:t>
            </w:r>
            <w:r>
              <w:rPr>
                <w:rFonts w:hint="eastAsia" w:ascii="宋体" w:hAnsi="宋体" w:eastAsia="宋体" w:cs="Times New Roman"/>
                <w:kern w:val="0"/>
                <w:sz w:val="24"/>
                <w:szCs w:val="24"/>
                <w:lang w:val="en-US" w:eastAsia="zh-CN" w:bidi="ar-SA"/>
              </w:rPr>
              <w:t>再</w:t>
            </w:r>
            <w:r>
              <w:rPr>
                <w:rFonts w:hint="default" w:ascii="宋体" w:hAnsi="宋体" w:eastAsia="宋体" w:cs="Times New Roman"/>
                <w:kern w:val="0"/>
                <w:sz w:val="24"/>
                <w:szCs w:val="24"/>
                <w:lang w:val="en-US" w:eastAsia="zh-CN" w:bidi="ar-SA"/>
              </w:rPr>
              <w:t>通过人工进行筛分增加了污水收集的时间。同时，污水处理装置收集的污泥中含有水分且回收利用性差，不易进行利用。因此，采用一种高效率脱氮除磷的污水处理装置来解决上述问题很有必要。</w:t>
            </w:r>
          </w:p>
        </w:tc>
      </w:tr>
      <w:tr w14:paraId="595B23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058" w:type="dxa"/>
            <w:tcBorders>
              <w:tl2br w:val="nil"/>
              <w:tr2bl w:val="nil"/>
            </w:tcBorders>
            <w:tcMar>
              <w:top w:w="0" w:type="dxa"/>
              <w:left w:w="108" w:type="dxa"/>
              <w:bottom w:w="0" w:type="dxa"/>
              <w:right w:w="108" w:type="dxa"/>
            </w:tcMar>
            <w:vAlign w:val="center"/>
          </w:tcPr>
          <w:p w14:paraId="42567C2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241" w:type="dxa"/>
            <w:gridSpan w:val="5"/>
            <w:tcBorders>
              <w:tl2br w:val="nil"/>
              <w:tr2bl w:val="nil"/>
            </w:tcBorders>
            <w:tcMar>
              <w:top w:w="0" w:type="dxa"/>
              <w:left w:w="108" w:type="dxa"/>
              <w:bottom w:w="0" w:type="dxa"/>
              <w:right w:w="108" w:type="dxa"/>
            </w:tcMar>
            <w:vAlign w:val="center"/>
          </w:tcPr>
          <w:p w14:paraId="5CDB9F7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青岛顺清源环境有限公司，污水供水提升改造工程采用日处理量50T的一种高效率脱氮除磷的污水处理装置。</w:t>
            </w:r>
          </w:p>
          <w:p w14:paraId="616D23D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安丘市城乡供水有限公司，农村供排水提升改造工程采用日处理量100T的一种高效率脱氮除磷的污水处理装置。</w:t>
            </w:r>
          </w:p>
          <w:p w14:paraId="7011EDA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关岭自治县大禹水利建设投资开发有限责任公司，污水片区治理工程采用日处理量300T的一种高效率脱氮除磷的污水处理装置。</w:t>
            </w:r>
          </w:p>
          <w:p w14:paraId="0868EFD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日处理水费用较低约为0.5元/吨，经过设备处理后的出水符合污水排放标准，并且能够有助于将污水的碎石进行过滤处理以及对污泥的收集。解决了污水的难题。</w:t>
            </w:r>
          </w:p>
        </w:tc>
      </w:tr>
    </w:tbl>
    <w:p w14:paraId="6C8708B7">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6" w:name="_Toc30454"/>
      <w:r>
        <w:rPr>
          <w:rFonts w:hint="default" w:ascii="宋体" w:hAnsi="宋体" w:cs="Times New Roman"/>
          <w:sz w:val="28"/>
          <w:szCs w:val="28"/>
          <w:lang w:val="en-US" w:eastAsia="zh-CN"/>
        </w:rPr>
        <w:t>2.</w:t>
      </w:r>
      <w:r>
        <w:rPr>
          <w:rFonts w:hint="eastAsia" w:ascii="宋体" w:hAnsi="宋体" w:cs="Times New Roman"/>
          <w:sz w:val="28"/>
          <w:szCs w:val="28"/>
          <w:lang w:val="en-US" w:eastAsia="zh-CN"/>
        </w:rPr>
        <w:t>2</w:t>
      </w:r>
      <w:r>
        <w:rPr>
          <w:rFonts w:hint="default" w:ascii="宋体" w:hAnsi="宋体" w:cs="Times New Roman"/>
          <w:sz w:val="28"/>
          <w:szCs w:val="28"/>
          <w:lang w:val="en-US" w:eastAsia="zh-CN"/>
        </w:rPr>
        <w:t xml:space="preserve"> 河流泥沙采样成套技术装备及方法</w:t>
      </w:r>
      <w:bookmarkEnd w:id="6"/>
    </w:p>
    <w:tbl>
      <w:tblPr>
        <w:tblStyle w:val="28"/>
        <w:tblW w:w="941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53"/>
        <w:gridCol w:w="1307"/>
        <w:gridCol w:w="824"/>
        <w:gridCol w:w="1600"/>
        <w:gridCol w:w="1250"/>
        <w:gridCol w:w="2280"/>
      </w:tblGrid>
      <w:tr w14:paraId="794843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53" w:type="dxa"/>
            <w:tcBorders>
              <w:tl2br w:val="nil"/>
              <w:tr2bl w:val="nil"/>
            </w:tcBorders>
            <w:tcMar>
              <w:top w:w="0" w:type="dxa"/>
              <w:left w:w="108" w:type="dxa"/>
              <w:bottom w:w="0" w:type="dxa"/>
              <w:right w:w="108" w:type="dxa"/>
            </w:tcMar>
            <w:vAlign w:val="center"/>
          </w:tcPr>
          <w:p w14:paraId="637745E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技术（产品）名称</w:t>
            </w:r>
          </w:p>
        </w:tc>
        <w:tc>
          <w:tcPr>
            <w:tcW w:w="7261" w:type="dxa"/>
            <w:gridSpan w:val="5"/>
            <w:tcBorders>
              <w:tl2br w:val="nil"/>
              <w:tr2bl w:val="nil"/>
            </w:tcBorders>
            <w:tcMar>
              <w:top w:w="0" w:type="dxa"/>
              <w:left w:w="108" w:type="dxa"/>
              <w:bottom w:w="0" w:type="dxa"/>
              <w:right w:w="108" w:type="dxa"/>
            </w:tcMar>
            <w:vAlign w:val="center"/>
          </w:tcPr>
          <w:p w14:paraId="07BEACB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河流泥沙采样成套技术装备及方法</w:t>
            </w:r>
          </w:p>
        </w:tc>
      </w:tr>
      <w:tr w14:paraId="4684EB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68" w:hRule="atLeast"/>
          <w:jc w:val="center"/>
        </w:trPr>
        <w:tc>
          <w:tcPr>
            <w:tcW w:w="2153" w:type="dxa"/>
            <w:tcBorders>
              <w:tl2br w:val="nil"/>
              <w:tr2bl w:val="nil"/>
            </w:tcBorders>
            <w:tcMar>
              <w:top w:w="0" w:type="dxa"/>
              <w:left w:w="108" w:type="dxa"/>
              <w:bottom w:w="0" w:type="dxa"/>
              <w:right w:w="108" w:type="dxa"/>
            </w:tcMar>
            <w:vAlign w:val="center"/>
          </w:tcPr>
          <w:p w14:paraId="20278C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w:t>
            </w:r>
          </w:p>
        </w:tc>
        <w:tc>
          <w:tcPr>
            <w:tcW w:w="7261" w:type="dxa"/>
            <w:gridSpan w:val="5"/>
            <w:tcBorders>
              <w:tl2br w:val="nil"/>
              <w:tr2bl w:val="nil"/>
            </w:tcBorders>
            <w:tcMar>
              <w:top w:w="0" w:type="dxa"/>
              <w:left w:w="108" w:type="dxa"/>
              <w:bottom w:w="0" w:type="dxa"/>
              <w:right w:w="108" w:type="dxa"/>
            </w:tcMar>
            <w:vAlign w:val="center"/>
          </w:tcPr>
          <w:p w14:paraId="4DF481A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长江水利委员会水文局荆江水文水资源勘测局、中国三峡建设管理有限公司、华能澜沧江水电股份有限公司、长江水利委员会水文局西南诸河水文水资源勘测局</w:t>
            </w:r>
          </w:p>
        </w:tc>
      </w:tr>
      <w:tr w14:paraId="2F6698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53" w:type="dxa"/>
            <w:tcBorders>
              <w:tl2br w:val="nil"/>
              <w:tr2bl w:val="nil"/>
            </w:tcBorders>
            <w:tcMar>
              <w:top w:w="0" w:type="dxa"/>
              <w:left w:w="108" w:type="dxa"/>
              <w:bottom w:w="0" w:type="dxa"/>
              <w:right w:w="108" w:type="dxa"/>
            </w:tcMar>
            <w:vAlign w:val="center"/>
          </w:tcPr>
          <w:p w14:paraId="69363D2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单位地址</w:t>
            </w:r>
          </w:p>
        </w:tc>
        <w:tc>
          <w:tcPr>
            <w:tcW w:w="3731" w:type="dxa"/>
            <w:gridSpan w:val="3"/>
            <w:tcBorders>
              <w:tl2br w:val="nil"/>
              <w:tr2bl w:val="nil"/>
            </w:tcBorders>
            <w:tcMar>
              <w:top w:w="0" w:type="dxa"/>
              <w:left w:w="108" w:type="dxa"/>
              <w:bottom w:w="0" w:type="dxa"/>
              <w:right w:w="108" w:type="dxa"/>
            </w:tcMar>
            <w:vAlign w:val="center"/>
          </w:tcPr>
          <w:p w14:paraId="3202FD4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云南省昆明市盘龙区芳林街1号</w:t>
            </w:r>
          </w:p>
        </w:tc>
        <w:tc>
          <w:tcPr>
            <w:tcW w:w="1250" w:type="dxa"/>
            <w:tcBorders>
              <w:tl2br w:val="nil"/>
              <w:tr2bl w:val="nil"/>
            </w:tcBorders>
            <w:tcMar>
              <w:top w:w="0" w:type="dxa"/>
              <w:left w:w="108" w:type="dxa"/>
              <w:bottom w:w="0" w:type="dxa"/>
              <w:right w:w="108" w:type="dxa"/>
            </w:tcMar>
            <w:vAlign w:val="center"/>
          </w:tcPr>
          <w:p w14:paraId="7C8F5A6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邮政编码</w:t>
            </w:r>
          </w:p>
        </w:tc>
        <w:tc>
          <w:tcPr>
            <w:tcW w:w="2280" w:type="dxa"/>
            <w:tcBorders>
              <w:tl2br w:val="nil"/>
              <w:tr2bl w:val="nil"/>
            </w:tcBorders>
            <w:tcMar>
              <w:top w:w="0" w:type="dxa"/>
              <w:left w:w="108" w:type="dxa"/>
              <w:bottom w:w="0" w:type="dxa"/>
              <w:right w:w="108" w:type="dxa"/>
            </w:tcMar>
            <w:vAlign w:val="center"/>
          </w:tcPr>
          <w:p w14:paraId="627C0A9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650205</w:t>
            </w:r>
          </w:p>
        </w:tc>
      </w:tr>
      <w:tr w14:paraId="42F70B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53" w:type="dxa"/>
            <w:tcBorders>
              <w:tl2br w:val="nil"/>
              <w:tr2bl w:val="nil"/>
            </w:tcBorders>
            <w:tcMar>
              <w:top w:w="0" w:type="dxa"/>
              <w:left w:w="108" w:type="dxa"/>
              <w:bottom w:w="0" w:type="dxa"/>
              <w:right w:w="108" w:type="dxa"/>
            </w:tcMar>
            <w:vAlign w:val="center"/>
          </w:tcPr>
          <w:p w14:paraId="5EF44B1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法人代表</w:t>
            </w:r>
          </w:p>
        </w:tc>
        <w:tc>
          <w:tcPr>
            <w:tcW w:w="1307" w:type="dxa"/>
            <w:tcBorders>
              <w:tl2br w:val="nil"/>
              <w:tr2bl w:val="nil"/>
            </w:tcBorders>
            <w:tcMar>
              <w:top w:w="0" w:type="dxa"/>
              <w:left w:w="108" w:type="dxa"/>
              <w:bottom w:w="0" w:type="dxa"/>
              <w:right w:w="108" w:type="dxa"/>
            </w:tcMar>
            <w:vAlign w:val="center"/>
          </w:tcPr>
          <w:p w14:paraId="3364036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彭万兵</w:t>
            </w:r>
          </w:p>
        </w:tc>
        <w:tc>
          <w:tcPr>
            <w:tcW w:w="824" w:type="dxa"/>
            <w:tcBorders>
              <w:tl2br w:val="nil"/>
              <w:tr2bl w:val="nil"/>
            </w:tcBorders>
            <w:tcMar>
              <w:top w:w="0" w:type="dxa"/>
              <w:left w:w="108" w:type="dxa"/>
              <w:bottom w:w="0" w:type="dxa"/>
              <w:right w:w="108" w:type="dxa"/>
            </w:tcMar>
            <w:vAlign w:val="center"/>
          </w:tcPr>
          <w:p w14:paraId="217D123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职务</w:t>
            </w:r>
          </w:p>
        </w:tc>
        <w:tc>
          <w:tcPr>
            <w:tcW w:w="1600" w:type="dxa"/>
            <w:tcBorders>
              <w:tl2br w:val="nil"/>
              <w:tr2bl w:val="nil"/>
            </w:tcBorders>
            <w:tcMar>
              <w:top w:w="0" w:type="dxa"/>
              <w:left w:w="108" w:type="dxa"/>
              <w:bottom w:w="0" w:type="dxa"/>
              <w:right w:w="108" w:type="dxa"/>
            </w:tcMar>
            <w:vAlign w:val="center"/>
          </w:tcPr>
          <w:p w14:paraId="3B479F0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局长</w:t>
            </w:r>
          </w:p>
        </w:tc>
        <w:tc>
          <w:tcPr>
            <w:tcW w:w="1250" w:type="dxa"/>
            <w:tcBorders>
              <w:tl2br w:val="nil"/>
              <w:tr2bl w:val="nil"/>
            </w:tcBorders>
            <w:tcMar>
              <w:top w:w="0" w:type="dxa"/>
              <w:left w:w="108" w:type="dxa"/>
              <w:bottom w:w="0" w:type="dxa"/>
              <w:right w:w="108" w:type="dxa"/>
            </w:tcMar>
            <w:vAlign w:val="center"/>
          </w:tcPr>
          <w:p w14:paraId="53C60FE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2280" w:type="dxa"/>
            <w:tcBorders>
              <w:tl2br w:val="nil"/>
              <w:tr2bl w:val="nil"/>
            </w:tcBorders>
            <w:tcMar>
              <w:top w:w="0" w:type="dxa"/>
              <w:left w:w="108" w:type="dxa"/>
              <w:bottom w:w="0" w:type="dxa"/>
              <w:right w:w="108" w:type="dxa"/>
            </w:tcMar>
            <w:vAlign w:val="center"/>
          </w:tcPr>
          <w:p w14:paraId="6A444DE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0871</w:t>
            </w:r>
            <w:r>
              <w:rPr>
                <w:rFonts w:hint="eastAsia" w:ascii="宋体" w:hAnsi="宋体" w:eastAsia="宋体" w:cs="Times New Roman"/>
                <w:kern w:val="0"/>
                <w:sz w:val="24"/>
                <w:szCs w:val="24"/>
                <w:lang w:val="en-US" w:eastAsia="zh-CN"/>
              </w:rPr>
              <w:t>-</w:t>
            </w:r>
            <w:r>
              <w:rPr>
                <w:rFonts w:hint="default" w:ascii="宋体" w:hAnsi="宋体" w:eastAsia="宋体" w:cs="Times New Roman"/>
                <w:kern w:val="0"/>
                <w:sz w:val="24"/>
                <w:szCs w:val="24"/>
              </w:rPr>
              <w:t>63519300</w:t>
            </w:r>
          </w:p>
        </w:tc>
      </w:tr>
      <w:tr w14:paraId="431A1D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53" w:type="dxa"/>
            <w:tcBorders>
              <w:tl2br w:val="nil"/>
              <w:tr2bl w:val="nil"/>
            </w:tcBorders>
            <w:tcMar>
              <w:top w:w="0" w:type="dxa"/>
              <w:left w:w="108" w:type="dxa"/>
              <w:bottom w:w="0" w:type="dxa"/>
              <w:right w:w="108" w:type="dxa"/>
            </w:tcMar>
            <w:vAlign w:val="center"/>
          </w:tcPr>
          <w:p w14:paraId="049C4C5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联系人</w:t>
            </w:r>
          </w:p>
        </w:tc>
        <w:tc>
          <w:tcPr>
            <w:tcW w:w="1307" w:type="dxa"/>
            <w:tcBorders>
              <w:tl2br w:val="nil"/>
              <w:tr2bl w:val="nil"/>
            </w:tcBorders>
            <w:tcMar>
              <w:top w:w="0" w:type="dxa"/>
              <w:left w:w="108" w:type="dxa"/>
              <w:bottom w:w="0" w:type="dxa"/>
              <w:right w:w="108" w:type="dxa"/>
            </w:tcMar>
            <w:vAlign w:val="center"/>
          </w:tcPr>
          <w:p w14:paraId="3625E33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周儒夫</w:t>
            </w:r>
          </w:p>
        </w:tc>
        <w:tc>
          <w:tcPr>
            <w:tcW w:w="824" w:type="dxa"/>
            <w:tcBorders>
              <w:tl2br w:val="nil"/>
              <w:tr2bl w:val="nil"/>
            </w:tcBorders>
            <w:tcMar>
              <w:top w:w="0" w:type="dxa"/>
              <w:left w:w="108" w:type="dxa"/>
              <w:bottom w:w="0" w:type="dxa"/>
              <w:right w:w="108" w:type="dxa"/>
            </w:tcMar>
            <w:vAlign w:val="center"/>
          </w:tcPr>
          <w:p w14:paraId="46B6CFB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1600" w:type="dxa"/>
            <w:tcBorders>
              <w:tl2br w:val="nil"/>
              <w:tr2bl w:val="nil"/>
            </w:tcBorders>
            <w:tcMar>
              <w:top w:w="0" w:type="dxa"/>
              <w:left w:w="108" w:type="dxa"/>
              <w:bottom w:w="0" w:type="dxa"/>
              <w:right w:w="108" w:type="dxa"/>
            </w:tcMar>
            <w:vAlign w:val="center"/>
          </w:tcPr>
          <w:p w14:paraId="217F62F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0871</w:t>
            </w:r>
            <w:r>
              <w:rPr>
                <w:rFonts w:hint="eastAsia" w:ascii="宋体" w:hAnsi="宋体" w:eastAsia="宋体" w:cs="Times New Roman"/>
                <w:kern w:val="0"/>
                <w:sz w:val="24"/>
                <w:szCs w:val="24"/>
                <w:lang w:val="en-US" w:eastAsia="zh-CN"/>
              </w:rPr>
              <w:t>-</w:t>
            </w:r>
            <w:r>
              <w:rPr>
                <w:rFonts w:hint="default" w:ascii="宋体" w:hAnsi="宋体" w:eastAsia="宋体" w:cs="Times New Roman"/>
                <w:kern w:val="0"/>
                <w:sz w:val="24"/>
                <w:szCs w:val="24"/>
              </w:rPr>
              <w:t>63519300</w:t>
            </w:r>
          </w:p>
        </w:tc>
        <w:tc>
          <w:tcPr>
            <w:tcW w:w="1250" w:type="dxa"/>
            <w:tcBorders>
              <w:tl2br w:val="nil"/>
              <w:tr2bl w:val="nil"/>
            </w:tcBorders>
            <w:tcMar>
              <w:top w:w="0" w:type="dxa"/>
              <w:left w:w="108" w:type="dxa"/>
              <w:bottom w:w="0" w:type="dxa"/>
              <w:right w:w="108" w:type="dxa"/>
            </w:tcMar>
            <w:vAlign w:val="center"/>
          </w:tcPr>
          <w:p w14:paraId="6E43708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E-mail</w:t>
            </w:r>
          </w:p>
        </w:tc>
        <w:tc>
          <w:tcPr>
            <w:tcW w:w="2280" w:type="dxa"/>
            <w:tcBorders>
              <w:tl2br w:val="nil"/>
              <w:tr2bl w:val="nil"/>
            </w:tcBorders>
            <w:tcMar>
              <w:top w:w="0" w:type="dxa"/>
              <w:left w:w="108" w:type="dxa"/>
              <w:bottom w:w="0" w:type="dxa"/>
              <w:right w:w="108" w:type="dxa"/>
            </w:tcMar>
            <w:vAlign w:val="center"/>
          </w:tcPr>
          <w:p w14:paraId="7D23F6A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598340222@qq.com</w:t>
            </w:r>
          </w:p>
        </w:tc>
      </w:tr>
      <w:tr w14:paraId="3CE1D7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3699" w:hRule="atLeast"/>
          <w:jc w:val="center"/>
        </w:trPr>
        <w:tc>
          <w:tcPr>
            <w:tcW w:w="2153" w:type="dxa"/>
            <w:tcBorders>
              <w:tl2br w:val="nil"/>
              <w:tr2bl w:val="nil"/>
            </w:tcBorders>
            <w:tcMar>
              <w:top w:w="0" w:type="dxa"/>
              <w:left w:w="108" w:type="dxa"/>
              <w:bottom w:w="0" w:type="dxa"/>
              <w:right w:w="108" w:type="dxa"/>
            </w:tcMar>
            <w:vAlign w:val="center"/>
          </w:tcPr>
          <w:p w14:paraId="6612FE2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持有单位简介</w:t>
            </w:r>
          </w:p>
        </w:tc>
        <w:tc>
          <w:tcPr>
            <w:tcW w:w="7261" w:type="dxa"/>
            <w:gridSpan w:val="5"/>
            <w:tcBorders>
              <w:tl2br w:val="nil"/>
              <w:tr2bl w:val="nil"/>
            </w:tcBorders>
            <w:tcMar>
              <w:top w:w="0" w:type="dxa"/>
              <w:left w:w="108" w:type="dxa"/>
              <w:bottom w:w="0" w:type="dxa"/>
              <w:right w:w="108" w:type="dxa"/>
            </w:tcMar>
            <w:vAlign w:val="center"/>
          </w:tcPr>
          <w:p w14:paraId="6E6C957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长江水利委员会水文局西南诸河水文水资源勘测局是水利部长江水利委员会水文局下属的正处级科研事业单位，主要负责澜沧江以西（含澜沧江）区域内西南诸河的水资源、水环境、水生态及河流泥沙运动、河床演变监测及分析研究等工作，是为西南诸河流域规划、综合治理、水资源保护和利用、水利水电工程建设</w:t>
            </w:r>
            <w:r>
              <w:rPr>
                <w:rFonts w:hint="eastAsia" w:ascii="宋体" w:hAnsi="宋体" w:eastAsia="宋体" w:cs="Times New Roman"/>
                <w:kern w:val="0"/>
                <w:sz w:val="24"/>
                <w:szCs w:val="24"/>
                <w:lang w:val="en-US" w:eastAsia="zh-CN" w:bidi="ar-SA"/>
              </w:rPr>
              <w:t>及其他</w:t>
            </w:r>
            <w:r>
              <w:rPr>
                <w:rFonts w:hint="default" w:ascii="宋体" w:hAnsi="宋体" w:eastAsia="宋体" w:cs="Times New Roman"/>
                <w:kern w:val="0"/>
                <w:sz w:val="24"/>
                <w:szCs w:val="24"/>
                <w:lang w:val="en-US" w:eastAsia="zh-CN" w:bidi="ar-SA"/>
              </w:rPr>
              <w:t>国民经济建设等提供基本资料及研究成果的专业机构，拥有甲级水文水资源调查评价证书、甲级测绘资格证书以及质量、环境和职业健康安全体系认证单位。</w:t>
            </w:r>
          </w:p>
        </w:tc>
      </w:tr>
      <w:tr w14:paraId="45909F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53" w:type="dxa"/>
            <w:tcBorders>
              <w:tl2br w:val="nil"/>
              <w:tr2bl w:val="nil"/>
            </w:tcBorders>
            <w:tcMar>
              <w:top w:w="0" w:type="dxa"/>
              <w:left w:w="108" w:type="dxa"/>
              <w:bottom w:w="0" w:type="dxa"/>
              <w:right w:w="108" w:type="dxa"/>
            </w:tcMar>
            <w:vAlign w:val="center"/>
          </w:tcPr>
          <w:p w14:paraId="5EF1331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技术（产品）简介</w:t>
            </w:r>
          </w:p>
        </w:tc>
        <w:tc>
          <w:tcPr>
            <w:tcW w:w="7261" w:type="dxa"/>
            <w:gridSpan w:val="5"/>
            <w:tcBorders>
              <w:tl2br w:val="nil"/>
              <w:tr2bl w:val="nil"/>
            </w:tcBorders>
            <w:tcMar>
              <w:top w:w="0" w:type="dxa"/>
              <w:left w:w="108" w:type="dxa"/>
              <w:bottom w:w="0" w:type="dxa"/>
              <w:right w:w="108" w:type="dxa"/>
            </w:tcMar>
            <w:vAlign w:val="center"/>
          </w:tcPr>
          <w:p w14:paraId="4A9EE0A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（1）技术来源：属生产实践中自主研发及技术革新。</w:t>
            </w:r>
          </w:p>
          <w:p w14:paraId="336B5C1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特点：提出了全类型河流泥沙采样技术、计算分析及整编方法，研制了静、动河流泥沙测验成套采样设备（含悬移质、临底沙、推移质、河床质、异重流、干容重等）以及相应船载联控装置，有效解决了河流水体及河床表层物质勘测技术难题，实现了准确获取河流输沙量及颗粒级配的技术方法。</w:t>
            </w:r>
          </w:p>
          <w:p w14:paraId="78465B0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功能：根据不同河流、河段水体环境（水流、水深、含沙量等）的差异性，河床底边界的（基岩、卵石、卵石夹砂、沙质、淤泥等）物质组成复杂性，研制了不同类型以及同类型不同采集方式的样品采集器，如床沙采样器，粒径小于3mm的采用了触发式，粒径大于3mm小于15cm的采用双门挖斗式，大于15cm小于60cm的采用级配打印器，进而真正实现了对河流悬移质、临底沙、推移质、河床质、异重流、干容重全系列样品的准确采集，较好地解决了已有泥沙测验技术及采样器获取样品时存在的“无法测</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测不到</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测不准”技术难题。</w:t>
            </w:r>
          </w:p>
          <w:p w14:paraId="0EA40D1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指标：悬移质、临底沙测验范围为全系列，推移质测验粒径范围粒径为0～15cm，河床质测验粒径范围为0～60cm；采样器设计自重大型为150～300kg、小型20～30kg，也可据河流水深、流速情况调配重量；一次性采集悬移质水样体积为1000～8000ml、采集泥沙重量为5～50kg；水深宜在150m、流速0～5m／s以内；配套辅助装置：起重能力0.5～1吨液压绞车、135KW以上的船舶及制动装置。</w:t>
            </w:r>
          </w:p>
        </w:tc>
      </w:tr>
      <w:tr w14:paraId="3ED9DC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112" w:hRule="atLeast"/>
          <w:jc w:val="center"/>
        </w:trPr>
        <w:tc>
          <w:tcPr>
            <w:tcW w:w="2153" w:type="dxa"/>
            <w:tcBorders>
              <w:tl2br w:val="nil"/>
              <w:tr2bl w:val="nil"/>
            </w:tcBorders>
            <w:tcMar>
              <w:top w:w="0" w:type="dxa"/>
              <w:left w:w="108" w:type="dxa"/>
              <w:bottom w:w="0" w:type="dxa"/>
              <w:right w:w="108" w:type="dxa"/>
            </w:tcMar>
            <w:vAlign w:val="center"/>
          </w:tcPr>
          <w:p w14:paraId="637BF83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主要完成人</w:t>
            </w:r>
          </w:p>
        </w:tc>
        <w:tc>
          <w:tcPr>
            <w:tcW w:w="7261" w:type="dxa"/>
            <w:gridSpan w:val="5"/>
            <w:tcBorders>
              <w:tl2br w:val="nil"/>
              <w:tr2bl w:val="nil"/>
            </w:tcBorders>
            <w:tcMar>
              <w:top w:w="0" w:type="dxa"/>
              <w:left w:w="108" w:type="dxa"/>
              <w:bottom w:w="0" w:type="dxa"/>
              <w:right w:w="108" w:type="dxa"/>
            </w:tcMar>
            <w:vAlign w:val="center"/>
          </w:tcPr>
          <w:p w14:paraId="56050DF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left"/>
              <w:textAlignment w:val="auto"/>
              <w:rPr>
                <w:rFonts w:hint="default" w:ascii="宋体" w:hAnsi="宋体" w:eastAsia="宋体" w:cs="Times New Roman"/>
                <w:sz w:val="24"/>
                <w:szCs w:val="24"/>
              </w:rPr>
            </w:pPr>
            <w:r>
              <w:rPr>
                <w:rFonts w:hint="default" w:ascii="宋体" w:hAnsi="宋体" w:eastAsia="宋体" w:cs="Times New Roman"/>
                <w:kern w:val="0"/>
                <w:sz w:val="24"/>
                <w:szCs w:val="24"/>
              </w:rPr>
              <w:t>彭万兵</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段光磊</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周儒夫</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董先勇</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陈有勤</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秦蕾蕾</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施厂长</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童辉</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方智</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程含斌</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吴立健</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张生稳</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梅同单</w:t>
            </w:r>
            <w:r>
              <w:rPr>
                <w:rFonts w:hint="eastAsia" w:ascii="宋体" w:hAnsi="宋体" w:eastAsia="宋体" w:cs="Times New Roman"/>
                <w:kern w:val="0"/>
                <w:sz w:val="24"/>
                <w:szCs w:val="24"/>
                <w:lang w:eastAsia="zh-CN"/>
              </w:rPr>
              <w:t>、</w:t>
            </w:r>
            <w:r>
              <w:rPr>
                <w:rFonts w:hint="default" w:ascii="宋体" w:hAnsi="宋体" w:eastAsia="宋体" w:cs="Times New Roman"/>
                <w:kern w:val="0"/>
                <w:sz w:val="24"/>
                <w:szCs w:val="24"/>
              </w:rPr>
              <w:t>张智敏</w:t>
            </w:r>
          </w:p>
        </w:tc>
      </w:tr>
      <w:tr w14:paraId="411336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119" w:hRule="atLeast"/>
          <w:jc w:val="center"/>
        </w:trPr>
        <w:tc>
          <w:tcPr>
            <w:tcW w:w="2153" w:type="dxa"/>
            <w:tcBorders>
              <w:tl2br w:val="nil"/>
              <w:tr2bl w:val="nil"/>
            </w:tcBorders>
            <w:tcMar>
              <w:top w:w="0" w:type="dxa"/>
              <w:left w:w="108" w:type="dxa"/>
              <w:bottom w:w="0" w:type="dxa"/>
              <w:right w:w="108" w:type="dxa"/>
            </w:tcMar>
            <w:vAlign w:val="center"/>
          </w:tcPr>
          <w:p w14:paraId="4873EFB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鉴定认证、专利与获奖情况等</w:t>
            </w:r>
          </w:p>
        </w:tc>
        <w:tc>
          <w:tcPr>
            <w:tcW w:w="7261" w:type="dxa"/>
            <w:gridSpan w:val="5"/>
            <w:tcBorders>
              <w:tl2br w:val="nil"/>
              <w:tr2bl w:val="nil"/>
            </w:tcBorders>
            <w:tcMar>
              <w:top w:w="0" w:type="dxa"/>
              <w:left w:w="108" w:type="dxa"/>
              <w:bottom w:w="0" w:type="dxa"/>
              <w:right w:w="108" w:type="dxa"/>
            </w:tcMar>
            <w:vAlign w:val="center"/>
          </w:tcPr>
          <w:p w14:paraId="291097F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一、发明专利</w:t>
            </w:r>
          </w:p>
          <w:p w14:paraId="58FF5F4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（1）一种双桶悬移质泥沙及水质样品采样器（专利号：ZL201710348949.4）；</w:t>
            </w:r>
          </w:p>
          <w:p w14:paraId="5021430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（2）一种大型深水库中温度-泥沙耦合异重流监测装置（专利号：ZL201810273397.X）；</w:t>
            </w:r>
          </w:p>
          <w:p w14:paraId="7182A88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（3）一种水文测验设备的联控装置（专利号：ZL202010326195.4）；</w:t>
            </w:r>
          </w:p>
          <w:p w14:paraId="4311819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（4）一种适用于中小河流大口门推移质精准测验装置（专利号：ZL202010326195.4）。</w:t>
            </w:r>
          </w:p>
          <w:p w14:paraId="6D2B7F7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二、实用新型专利</w:t>
            </w:r>
          </w:p>
          <w:p w14:paraId="79F6205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（1）一种河流底边界卵石级配打印器（专利号：ZL201922280845.1）；</w:t>
            </w:r>
          </w:p>
          <w:p w14:paraId="53C6987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（2）一种河流沉积物底边界触发式沙质采样器（专利号：ZL202021212430.7）；</w:t>
            </w:r>
          </w:p>
          <w:p w14:paraId="437B2FE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（3）一种适用中小河流底边界卵石采样器（专利号：ZL202021164608.5）；</w:t>
            </w:r>
          </w:p>
          <w:p w14:paraId="688EC47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（4）双门挖斗式采样器（专利号：ZL202021164608.5）；</w:t>
            </w:r>
          </w:p>
          <w:p w14:paraId="66FDDBD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（5）一种临底沙采样器（专利号：ZL201620180414.1）；</w:t>
            </w:r>
          </w:p>
          <w:p w14:paraId="6F3CD31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（6）水文检测仪器通用支架（ZL201420124078.X）。</w:t>
            </w:r>
          </w:p>
          <w:p w14:paraId="7D5B980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三、水利先进实用技术重点推广指导目录</w:t>
            </w:r>
          </w:p>
          <w:p w14:paraId="3081722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（1）内陆水域水文泥沙采样成套设备（编号：TZ2018188）；</w:t>
            </w:r>
          </w:p>
          <w:p w14:paraId="3205C5A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（2）水文测验设备的联控装置（编号：TZ2020152）。</w:t>
            </w:r>
          </w:p>
          <w:p w14:paraId="1B947BE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四、获奖</w:t>
            </w:r>
          </w:p>
          <w:p w14:paraId="197F135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（1）河流沉积物勘测关键技术与应用（2020年度长江水利委员会科技进步一等奖）；</w:t>
            </w:r>
          </w:p>
          <w:p w14:paraId="4AB07BD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（2）JJ-LDS01型双尾翼临底沙悬移质采样器研制（2016年度长江水利委员会科技进步三等奖）。</w:t>
            </w:r>
          </w:p>
          <w:p w14:paraId="26C8A8F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五、专著、论文</w:t>
            </w:r>
          </w:p>
          <w:p w14:paraId="0179D9A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（1）《河床组成勘测调查技术与实践》（中国水利水电出版社：ISBN978-7-5170-4829-9）；</w:t>
            </w:r>
          </w:p>
          <w:p w14:paraId="1E88260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（2）《双筒式河流悬移质及水质样品采集器的设计与应用</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水利水电快报》，2020年6月；</w:t>
            </w:r>
          </w:p>
          <w:p w14:paraId="451D12B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（3）《JJ-CY02型双斗式床沙采样器的研制及运用</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水资源研究》,2016,5（2）。</w:t>
            </w:r>
          </w:p>
        </w:tc>
      </w:tr>
      <w:tr w14:paraId="46B038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261" w:hRule="atLeast"/>
          <w:jc w:val="center"/>
        </w:trPr>
        <w:tc>
          <w:tcPr>
            <w:tcW w:w="2153" w:type="dxa"/>
            <w:tcBorders>
              <w:tl2br w:val="nil"/>
              <w:tr2bl w:val="nil"/>
            </w:tcBorders>
            <w:tcMar>
              <w:top w:w="0" w:type="dxa"/>
              <w:left w:w="108" w:type="dxa"/>
              <w:bottom w:w="0" w:type="dxa"/>
              <w:right w:w="108" w:type="dxa"/>
            </w:tcMar>
            <w:vAlign w:val="center"/>
          </w:tcPr>
          <w:p w14:paraId="42A6CCE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适用范围</w:t>
            </w:r>
          </w:p>
        </w:tc>
        <w:tc>
          <w:tcPr>
            <w:tcW w:w="7261" w:type="dxa"/>
            <w:gridSpan w:val="5"/>
            <w:tcBorders>
              <w:tl2br w:val="nil"/>
              <w:tr2bl w:val="nil"/>
            </w:tcBorders>
            <w:tcMar>
              <w:top w:w="0" w:type="dxa"/>
              <w:left w:w="108" w:type="dxa"/>
              <w:bottom w:w="0" w:type="dxa"/>
              <w:right w:w="108" w:type="dxa"/>
            </w:tcMar>
            <w:vAlign w:val="center"/>
          </w:tcPr>
          <w:p w14:paraId="64DF3E6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适用于河流、水库、湖泊等水文泥沙测验中有关悬移质、临底沙、推移质、河床质及干容重及异重流等样品采集。</w:t>
            </w:r>
          </w:p>
        </w:tc>
      </w:tr>
      <w:tr w14:paraId="2D5EFC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405" w:hRule="atLeast"/>
          <w:jc w:val="center"/>
        </w:trPr>
        <w:tc>
          <w:tcPr>
            <w:tcW w:w="2153" w:type="dxa"/>
            <w:tcBorders>
              <w:tl2br w:val="nil"/>
              <w:tr2bl w:val="nil"/>
            </w:tcBorders>
            <w:tcMar>
              <w:top w:w="0" w:type="dxa"/>
              <w:left w:w="108" w:type="dxa"/>
              <w:bottom w:w="0" w:type="dxa"/>
              <w:right w:w="108" w:type="dxa"/>
            </w:tcMar>
            <w:vAlign w:val="center"/>
          </w:tcPr>
          <w:p w14:paraId="064E953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应用工程及效益</w:t>
            </w:r>
          </w:p>
        </w:tc>
        <w:tc>
          <w:tcPr>
            <w:tcW w:w="7261" w:type="dxa"/>
            <w:gridSpan w:val="5"/>
            <w:tcBorders>
              <w:tl2br w:val="nil"/>
              <w:tr2bl w:val="nil"/>
            </w:tcBorders>
            <w:tcMar>
              <w:top w:w="0" w:type="dxa"/>
              <w:left w:w="108" w:type="dxa"/>
              <w:bottom w:w="0" w:type="dxa"/>
              <w:right w:w="108" w:type="dxa"/>
            </w:tcMar>
            <w:vAlign w:val="center"/>
          </w:tcPr>
          <w:p w14:paraId="157E882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河流泥沙采样成套技术装备已成功应用于三峡工程水文泥沙研究、清江流域梯级水电开发、金沙江下游水电站梯级开发、巴基斯坦卡洛特水电开发等20余项国内外重大水利工程的规划设计、施工建设和运行管理，并填补和拓宽了水文泥沙资料系列，为流域治理与保护、水利工程建设及水科学研究等提供了可靠技术支撑，取得了显著的工程、社会和经济效益。</w:t>
            </w:r>
          </w:p>
          <w:p w14:paraId="5E004A2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（1）从2018年起，不同采样设备陆续在长江委水文局</w:t>
            </w:r>
            <w:r>
              <w:rPr>
                <w:rFonts w:hint="eastAsia" w:ascii="宋体" w:hAnsi="宋体" w:eastAsia="宋体" w:cs="Times New Roman"/>
                <w:kern w:val="0"/>
                <w:sz w:val="24"/>
                <w:szCs w:val="24"/>
                <w:lang w:val="en-US" w:eastAsia="zh-CN" w:bidi="ar-SA"/>
              </w:rPr>
              <w:t>荆江</w:t>
            </w:r>
            <w:r>
              <w:rPr>
                <w:rFonts w:hint="default" w:ascii="宋体" w:hAnsi="宋体" w:eastAsia="宋体" w:cs="Times New Roman"/>
                <w:kern w:val="0"/>
                <w:sz w:val="24"/>
                <w:szCs w:val="24"/>
                <w:lang w:val="en-US" w:eastAsia="zh-CN" w:bidi="ar-SA"/>
              </w:rPr>
              <w:t>水文水资源勘测局河道勘测中心、宜都分局、沙市分局等生产单位使用，为收集国家基本水文资料发挥了重要的技术支撑，有效推动了水文泥沙测验技术进步。</w:t>
            </w:r>
          </w:p>
          <w:p w14:paraId="7A69B1A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2020年7月起，长江委水文局三峡水资源勘测局引进了沙质采样器、推移质采样器等，在长江三峡库区及各支流河段水文泥沙测验项目中得到有效运用，为三峡水库调度、防洪及河道治理等发挥了积极作用，并取得一定的经济及社会效益。</w:t>
            </w:r>
          </w:p>
          <w:p w14:paraId="5EE43CF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大容量双桶悬移质泥沙及水质样品采样器在2017年三峡工程运用后重点河段河势变化及治理对策研究水文地形测量项目中得到成果运用。项目有19个水文测验断面，年度内施测3个测次，项目取样总数超过5000点。若采用原有1000ml横式采样器，往复取样次数将超过20000次，而利用大容量双尾翼临底悬移质采样器进行取样，一次可取得两个2000ml样品，则只需要5000次左右，且一次性取样100%成功，较传统采样器提高4倍以上工作效率，本项目每测次至少可节约人力、物力、水上交通等各类成本2.5万元。</w:t>
            </w:r>
          </w:p>
          <w:p w14:paraId="392C21E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双尾翼临底沙采样器，以荆江局沙市水文站为例，全年临底悬移质泥沙取样至少18测次，每测次布置垂线11线，每条垂线取2套水样。利用双尾翼临底沙采样器进行取样，95%以上的测点可一次性取样成功，较一般传统采样器可提高50%以上工作效率，每次节约人力、物力、水上交通等各类成本近千余元，仅沙市水文站一年可节约开支近1.8万元。</w:t>
            </w:r>
          </w:p>
          <w:p w14:paraId="76E18BE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sz w:val="24"/>
                <w:szCs w:val="24"/>
              </w:rPr>
            </w:pPr>
            <w:r>
              <w:rPr>
                <w:rFonts w:hint="default" w:ascii="宋体" w:hAnsi="宋体" w:eastAsia="宋体" w:cs="Times New Roman"/>
                <w:kern w:val="0"/>
                <w:sz w:val="24"/>
                <w:szCs w:val="24"/>
                <w:lang w:val="en-US" w:eastAsia="zh-CN" w:bidi="ar-SA"/>
              </w:rPr>
              <w:t>（5）双门挖斗式采样器：以宜昌虎牙滩至湖南岳阳城陵矶河段项目为例，需对测区的121个断面进行床沙取样，每断面水下取样5～11点，河床质取样总数约1000点。利用双门挖斗式采样器进行床沙取样，80%以上的床沙点可一次性取足样品，且样品符合实际情况，较锥式、蚌式等采样器至少可提高30%以上工作效率，项目每测次至少可节约人力、水下交通等各类成本近2万余元。</w:t>
            </w:r>
          </w:p>
        </w:tc>
      </w:tr>
    </w:tbl>
    <w:p w14:paraId="5B6A9327">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7" w:name="_Toc9381"/>
      <w:r>
        <w:rPr>
          <w:rFonts w:hint="default" w:ascii="宋体" w:hAnsi="宋体" w:cs="Times New Roman"/>
          <w:sz w:val="28"/>
          <w:szCs w:val="28"/>
          <w:lang w:val="en-US" w:eastAsia="zh-CN"/>
        </w:rPr>
        <w:t>2.</w:t>
      </w:r>
      <w:r>
        <w:rPr>
          <w:rFonts w:hint="eastAsia" w:ascii="宋体" w:hAnsi="宋体" w:cs="Times New Roman"/>
          <w:sz w:val="28"/>
          <w:szCs w:val="28"/>
          <w:lang w:val="en-US" w:eastAsia="zh-CN"/>
        </w:rPr>
        <w:t>3</w:t>
      </w:r>
      <w:r>
        <w:rPr>
          <w:rFonts w:hint="default" w:ascii="宋体" w:hAnsi="宋体" w:cs="Times New Roman"/>
          <w:sz w:val="28"/>
          <w:szCs w:val="28"/>
          <w:lang w:val="en-US" w:eastAsia="zh-CN"/>
        </w:rPr>
        <w:t xml:space="preserve"> 基于全感物联的一体化全要素野外水文感知基站</w:t>
      </w:r>
      <w:bookmarkEnd w:id="7"/>
    </w:p>
    <w:tbl>
      <w:tblPr>
        <w:tblStyle w:val="37"/>
        <w:tblW w:w="93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36"/>
        <w:gridCol w:w="1552"/>
        <w:gridCol w:w="943"/>
        <w:gridCol w:w="1586"/>
        <w:gridCol w:w="1200"/>
        <w:gridCol w:w="1954"/>
      </w:tblGrid>
      <w:tr w14:paraId="7619FC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136" w:type="dxa"/>
            <w:vAlign w:val="center"/>
          </w:tcPr>
          <w:p w14:paraId="5586DF69">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0"/>
                <w:sz w:val="24"/>
                <w:szCs w:val="24"/>
              </w:rPr>
              <w:t>技术</w:t>
            </w:r>
            <w:r>
              <w:rPr>
                <w:rFonts w:hint="eastAsia" w:cs="Times New Roman" w:eastAsiaTheme="minorEastAsia"/>
                <w:b w:val="0"/>
                <w:bCs w:val="0"/>
                <w:spacing w:val="0"/>
                <w:sz w:val="24"/>
                <w:szCs w:val="24"/>
                <w:lang w:eastAsia="zh-CN"/>
              </w:rPr>
              <w:t>（</w:t>
            </w:r>
            <w:r>
              <w:rPr>
                <w:rFonts w:hint="default" w:ascii="宋体" w:hAnsi="宋体" w:cs="Times New Roman" w:eastAsiaTheme="minorEastAsia"/>
                <w:b w:val="0"/>
                <w:bCs w:val="0"/>
                <w:spacing w:val="0"/>
                <w:sz w:val="24"/>
                <w:szCs w:val="24"/>
              </w:rPr>
              <w:t>产品</w:t>
            </w:r>
            <w:r>
              <w:rPr>
                <w:rFonts w:hint="eastAsia" w:cs="Times New Roman" w:eastAsiaTheme="minorEastAsia"/>
                <w:b w:val="0"/>
                <w:bCs w:val="0"/>
                <w:spacing w:val="0"/>
                <w:sz w:val="24"/>
                <w:szCs w:val="24"/>
                <w:lang w:eastAsia="zh-CN"/>
              </w:rPr>
              <w:t>）</w:t>
            </w:r>
            <w:r>
              <w:rPr>
                <w:rFonts w:hint="default" w:ascii="宋体" w:hAnsi="宋体" w:cs="Times New Roman" w:eastAsiaTheme="minorEastAsia"/>
                <w:b w:val="0"/>
                <w:bCs w:val="0"/>
                <w:spacing w:val="0"/>
                <w:sz w:val="24"/>
                <w:szCs w:val="24"/>
              </w:rPr>
              <w:t>名称</w:t>
            </w:r>
          </w:p>
        </w:tc>
        <w:tc>
          <w:tcPr>
            <w:tcW w:w="7235" w:type="dxa"/>
            <w:gridSpan w:val="5"/>
            <w:vAlign w:val="center"/>
          </w:tcPr>
          <w:p w14:paraId="34E34B9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t>基于全感物联的一体化全要素野外水文感知基站（简称：全感通）</w:t>
            </w:r>
          </w:p>
        </w:tc>
      </w:tr>
      <w:tr w14:paraId="099CA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136" w:type="dxa"/>
            <w:vAlign w:val="center"/>
          </w:tcPr>
          <w:p w14:paraId="7CDDD115">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5"/>
                <w:sz w:val="24"/>
                <w:szCs w:val="24"/>
              </w:rPr>
              <w:t>持有单位</w:t>
            </w:r>
          </w:p>
        </w:tc>
        <w:tc>
          <w:tcPr>
            <w:tcW w:w="7235" w:type="dxa"/>
            <w:gridSpan w:val="5"/>
            <w:vAlign w:val="center"/>
          </w:tcPr>
          <w:p w14:paraId="1968F07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en-US"/>
              </w:rPr>
            </w:pPr>
            <w:r>
              <w:rPr>
                <w:rFonts w:hint="default" w:ascii="宋体" w:hAnsi="宋体" w:cs="Times New Roman" w:eastAsiaTheme="minorEastAsia"/>
                <w:sz w:val="24"/>
                <w:szCs w:val="24"/>
                <w:lang w:val="en-US" w:eastAsia="zh-CN"/>
              </w:rPr>
              <w:t>南京昊控软件技术有限公司</w:t>
            </w:r>
          </w:p>
        </w:tc>
      </w:tr>
      <w:tr w14:paraId="08F2B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136" w:type="dxa"/>
            <w:vAlign w:val="center"/>
          </w:tcPr>
          <w:p w14:paraId="43E21635">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5"/>
                <w:sz w:val="24"/>
                <w:szCs w:val="24"/>
              </w:rPr>
              <w:t>单位地址</w:t>
            </w:r>
          </w:p>
        </w:tc>
        <w:tc>
          <w:tcPr>
            <w:tcW w:w="4081" w:type="dxa"/>
            <w:gridSpan w:val="3"/>
            <w:vAlign w:val="center"/>
          </w:tcPr>
          <w:p w14:paraId="11DC101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t>南京市江宁开发区迎翠路7号</w:t>
            </w:r>
          </w:p>
        </w:tc>
        <w:tc>
          <w:tcPr>
            <w:tcW w:w="1200" w:type="dxa"/>
            <w:vAlign w:val="center"/>
          </w:tcPr>
          <w:p w14:paraId="41950A7E">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pacing w:val="-4"/>
                <w:sz w:val="24"/>
                <w:szCs w:val="24"/>
                <w:lang w:val="en-US" w:eastAsia="zh-CN"/>
              </w:rPr>
            </w:pPr>
            <w:r>
              <w:rPr>
                <w:rFonts w:hint="default" w:ascii="宋体" w:hAnsi="宋体" w:cs="Times New Roman" w:eastAsiaTheme="minorEastAsia"/>
                <w:b w:val="0"/>
                <w:bCs w:val="0"/>
                <w:spacing w:val="-4"/>
                <w:sz w:val="24"/>
                <w:szCs w:val="24"/>
                <w:lang w:val="en-US" w:eastAsia="zh-CN"/>
              </w:rPr>
              <w:t>邮政编码</w:t>
            </w:r>
          </w:p>
        </w:tc>
        <w:tc>
          <w:tcPr>
            <w:tcW w:w="1954" w:type="dxa"/>
            <w:vAlign w:val="center"/>
          </w:tcPr>
          <w:p w14:paraId="10F40B2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t>211100</w:t>
            </w:r>
          </w:p>
        </w:tc>
      </w:tr>
      <w:tr w14:paraId="7B65B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136" w:type="dxa"/>
            <w:vAlign w:val="center"/>
          </w:tcPr>
          <w:p w14:paraId="5F4C5803">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5"/>
                <w:sz w:val="24"/>
                <w:szCs w:val="24"/>
              </w:rPr>
              <w:t>法人代表</w:t>
            </w:r>
          </w:p>
        </w:tc>
        <w:tc>
          <w:tcPr>
            <w:tcW w:w="1552" w:type="dxa"/>
            <w:vAlign w:val="center"/>
          </w:tcPr>
          <w:p w14:paraId="64F630C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t>阮哲伟</w:t>
            </w:r>
          </w:p>
        </w:tc>
        <w:tc>
          <w:tcPr>
            <w:tcW w:w="943" w:type="dxa"/>
            <w:vAlign w:val="center"/>
          </w:tcPr>
          <w:p w14:paraId="55CB5045">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6"/>
                <w:sz w:val="24"/>
                <w:szCs w:val="24"/>
              </w:rPr>
              <w:t>职务</w:t>
            </w:r>
          </w:p>
        </w:tc>
        <w:tc>
          <w:tcPr>
            <w:tcW w:w="1586" w:type="dxa"/>
            <w:vAlign w:val="center"/>
          </w:tcPr>
          <w:p w14:paraId="0CF1BE0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t>总经理</w:t>
            </w:r>
          </w:p>
        </w:tc>
        <w:tc>
          <w:tcPr>
            <w:tcW w:w="1200" w:type="dxa"/>
            <w:vAlign w:val="center"/>
          </w:tcPr>
          <w:p w14:paraId="0551F3AF">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pacing w:val="-4"/>
                <w:sz w:val="24"/>
                <w:szCs w:val="24"/>
                <w:lang w:val="en-US" w:eastAsia="zh-CN"/>
              </w:rPr>
            </w:pPr>
            <w:r>
              <w:rPr>
                <w:rFonts w:hint="default" w:ascii="宋体" w:hAnsi="宋体" w:cs="Times New Roman" w:eastAsiaTheme="minorEastAsia"/>
                <w:b w:val="0"/>
                <w:bCs w:val="0"/>
                <w:spacing w:val="-4"/>
                <w:sz w:val="24"/>
                <w:szCs w:val="24"/>
                <w:lang w:val="en-US" w:eastAsia="zh-CN"/>
              </w:rPr>
              <w:t>电话</w:t>
            </w:r>
          </w:p>
        </w:tc>
        <w:tc>
          <w:tcPr>
            <w:tcW w:w="1954" w:type="dxa"/>
            <w:vAlign w:val="center"/>
          </w:tcPr>
          <w:p w14:paraId="67C3E55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eastAsia" w:ascii="宋体" w:hAnsi="宋体" w:cs="Times New Roman" w:eastAsiaTheme="minorEastAsia"/>
                <w:sz w:val="24"/>
                <w:szCs w:val="24"/>
                <w:lang w:val="en-US" w:eastAsia="zh-CN"/>
              </w:rPr>
              <w:t>0</w:t>
            </w:r>
            <w:r>
              <w:rPr>
                <w:rFonts w:hint="default" w:ascii="宋体" w:hAnsi="宋体" w:cs="Times New Roman" w:eastAsiaTheme="minorEastAsia"/>
                <w:sz w:val="24"/>
                <w:szCs w:val="24"/>
                <w:lang w:val="en-US" w:eastAsia="zh-CN"/>
              </w:rPr>
              <w:t>25-57927277</w:t>
            </w:r>
          </w:p>
        </w:tc>
      </w:tr>
      <w:tr w14:paraId="1A30E4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exact"/>
          <w:jc w:val="center"/>
        </w:trPr>
        <w:tc>
          <w:tcPr>
            <w:tcW w:w="2136" w:type="dxa"/>
            <w:vAlign w:val="center"/>
          </w:tcPr>
          <w:p w14:paraId="5246DCF3">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5"/>
                <w:sz w:val="24"/>
                <w:szCs w:val="24"/>
              </w:rPr>
              <w:t>联系人</w:t>
            </w:r>
          </w:p>
        </w:tc>
        <w:tc>
          <w:tcPr>
            <w:tcW w:w="1552" w:type="dxa"/>
            <w:vAlign w:val="center"/>
          </w:tcPr>
          <w:p w14:paraId="14DDEA2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t>卢晶晶</w:t>
            </w:r>
          </w:p>
        </w:tc>
        <w:tc>
          <w:tcPr>
            <w:tcW w:w="943" w:type="dxa"/>
            <w:vAlign w:val="center"/>
          </w:tcPr>
          <w:p w14:paraId="5D277989">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2"/>
                <w:sz w:val="24"/>
                <w:szCs w:val="24"/>
              </w:rPr>
              <w:t>电话</w:t>
            </w:r>
          </w:p>
        </w:tc>
        <w:tc>
          <w:tcPr>
            <w:tcW w:w="1586" w:type="dxa"/>
            <w:shd w:val="clear" w:color="auto" w:fill="auto"/>
            <w:vAlign w:val="center"/>
          </w:tcPr>
          <w:p w14:paraId="2962255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2"/>
                <w:sz w:val="24"/>
                <w:szCs w:val="24"/>
                <w:lang w:val="en-US" w:eastAsia="zh-CN" w:bidi="ar-SA"/>
              </w:rPr>
            </w:pPr>
            <w:r>
              <w:rPr>
                <w:rFonts w:hint="eastAsia" w:ascii="宋体" w:hAnsi="宋体" w:cs="Times New Roman" w:eastAsiaTheme="minorEastAsia"/>
                <w:sz w:val="24"/>
                <w:szCs w:val="24"/>
                <w:lang w:val="en-US" w:eastAsia="zh-CN"/>
              </w:rPr>
              <w:t>0</w:t>
            </w:r>
            <w:r>
              <w:rPr>
                <w:rFonts w:hint="default" w:ascii="宋体" w:hAnsi="宋体" w:cs="Times New Roman" w:eastAsiaTheme="minorEastAsia"/>
                <w:sz w:val="24"/>
                <w:szCs w:val="24"/>
                <w:lang w:val="en-US" w:eastAsia="zh-CN"/>
              </w:rPr>
              <w:t>25-57927277</w:t>
            </w:r>
          </w:p>
        </w:tc>
        <w:tc>
          <w:tcPr>
            <w:tcW w:w="1200" w:type="dxa"/>
            <w:vAlign w:val="center"/>
          </w:tcPr>
          <w:p w14:paraId="52AB5054">
            <w:pPr>
              <w:pStyle w:val="39"/>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b w:val="0"/>
                <w:bCs w:val="0"/>
                <w:spacing w:val="-4"/>
                <w:sz w:val="24"/>
                <w:szCs w:val="24"/>
                <w:lang w:val="en-US" w:eastAsia="zh-CN"/>
              </w:rPr>
            </w:pPr>
            <w:r>
              <w:rPr>
                <w:rFonts w:hint="default" w:ascii="宋体" w:hAnsi="宋体" w:cs="Times New Roman" w:eastAsiaTheme="minorEastAsia"/>
                <w:b w:val="0"/>
                <w:bCs w:val="0"/>
                <w:spacing w:val="-4"/>
                <w:sz w:val="24"/>
                <w:szCs w:val="24"/>
                <w:lang w:val="en-US" w:eastAsia="zh-CN"/>
              </w:rPr>
              <w:t>E-mail</w:t>
            </w:r>
          </w:p>
        </w:tc>
        <w:tc>
          <w:tcPr>
            <w:tcW w:w="1954" w:type="dxa"/>
            <w:vAlign w:val="center"/>
          </w:tcPr>
          <w:p w14:paraId="78F9399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t>jingjing.lu@hawksoft.cn</w:t>
            </w:r>
          </w:p>
        </w:tc>
      </w:tr>
      <w:tr w14:paraId="6F6207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jc w:val="center"/>
        </w:trPr>
        <w:tc>
          <w:tcPr>
            <w:tcW w:w="2136" w:type="dxa"/>
            <w:vAlign w:val="center"/>
          </w:tcPr>
          <w:p w14:paraId="1F21947C">
            <w:pPr>
              <w:pStyle w:val="39"/>
              <w:pageBreakBefore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b w:val="0"/>
                <w:bCs w:val="0"/>
                <w:spacing w:val="-5"/>
                <w:sz w:val="24"/>
                <w:szCs w:val="24"/>
              </w:rPr>
            </w:pPr>
            <w:r>
              <w:rPr>
                <w:rFonts w:hint="default" w:ascii="宋体" w:hAnsi="宋体" w:cs="Times New Roman" w:eastAsiaTheme="minorEastAsia"/>
                <w:b w:val="0"/>
                <w:bCs w:val="0"/>
                <w:spacing w:val="-5"/>
                <w:sz w:val="24"/>
                <w:szCs w:val="24"/>
              </w:rPr>
              <w:t>持有单位简介</w:t>
            </w:r>
          </w:p>
        </w:tc>
        <w:tc>
          <w:tcPr>
            <w:tcW w:w="7235" w:type="dxa"/>
            <w:gridSpan w:val="5"/>
            <w:vAlign w:val="top"/>
          </w:tcPr>
          <w:p w14:paraId="2332416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南京昊控软件技术有限公司成立于2012年11月8日，是一家由海归学者创建的专注监测传感器研发的科技企业，长期深耕于水文监测领域。已协助中国水科院、清华大学、南京水科院等完成了多个国家课题的项目建设，包括国家自然科学基金，国家重点研发计划等。并拥有授权发明专利10余项，实用新型专利20余项，软著40余项。</w:t>
            </w:r>
          </w:p>
        </w:tc>
      </w:tr>
      <w:tr w14:paraId="4FF95B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2136" w:type="dxa"/>
            <w:vAlign w:val="center"/>
          </w:tcPr>
          <w:p w14:paraId="2BEA245B">
            <w:pPr>
              <w:pStyle w:val="39"/>
              <w:pageBreakBefore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b w:val="0"/>
                <w:bCs w:val="0"/>
                <w:spacing w:val="-5"/>
                <w:sz w:val="24"/>
                <w:szCs w:val="24"/>
                <w:lang w:val="en-US" w:eastAsia="zh-CN"/>
              </w:rPr>
            </w:pPr>
            <w:r>
              <w:rPr>
                <w:rFonts w:hint="default" w:ascii="宋体" w:hAnsi="宋体" w:cs="Times New Roman" w:eastAsiaTheme="minorEastAsia"/>
                <w:b w:val="0"/>
                <w:bCs w:val="0"/>
                <w:spacing w:val="-5"/>
                <w:sz w:val="24"/>
                <w:szCs w:val="24"/>
                <w:lang w:val="en-US" w:eastAsia="zh-CN"/>
              </w:rPr>
              <w:t>技术</w:t>
            </w:r>
            <w:r>
              <w:rPr>
                <w:rFonts w:hint="eastAsia" w:cs="Times New Roman" w:eastAsiaTheme="minorEastAsia"/>
                <w:b w:val="0"/>
                <w:bCs w:val="0"/>
                <w:spacing w:val="-5"/>
                <w:sz w:val="24"/>
                <w:szCs w:val="24"/>
                <w:lang w:val="en-US" w:eastAsia="zh-CN"/>
              </w:rPr>
              <w:t>（</w:t>
            </w:r>
            <w:r>
              <w:rPr>
                <w:rFonts w:hint="default" w:ascii="宋体" w:hAnsi="宋体" w:cs="Times New Roman" w:eastAsiaTheme="minorEastAsia"/>
                <w:b w:val="0"/>
                <w:bCs w:val="0"/>
                <w:spacing w:val="-5"/>
                <w:sz w:val="24"/>
                <w:szCs w:val="24"/>
                <w:lang w:val="en-US" w:eastAsia="zh-CN"/>
              </w:rPr>
              <w:t>产品</w:t>
            </w:r>
            <w:r>
              <w:rPr>
                <w:rFonts w:hint="eastAsia" w:cs="Times New Roman" w:eastAsiaTheme="minorEastAsia"/>
                <w:b w:val="0"/>
                <w:bCs w:val="0"/>
                <w:spacing w:val="-5"/>
                <w:sz w:val="24"/>
                <w:szCs w:val="24"/>
                <w:lang w:val="en-US" w:eastAsia="zh-CN"/>
              </w:rPr>
              <w:t>）</w:t>
            </w:r>
            <w:r>
              <w:rPr>
                <w:rFonts w:hint="default" w:ascii="宋体" w:hAnsi="宋体" w:cs="Times New Roman" w:eastAsiaTheme="minorEastAsia"/>
                <w:b w:val="0"/>
                <w:bCs w:val="0"/>
                <w:spacing w:val="-5"/>
                <w:sz w:val="24"/>
                <w:szCs w:val="24"/>
                <w:lang w:val="en-US" w:eastAsia="zh-CN"/>
              </w:rPr>
              <w:t>简介</w:t>
            </w:r>
          </w:p>
        </w:tc>
        <w:tc>
          <w:tcPr>
            <w:tcW w:w="7235" w:type="dxa"/>
            <w:gridSpan w:val="5"/>
            <w:vAlign w:val="top"/>
          </w:tcPr>
          <w:p w14:paraId="6E6052E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全感通重构了对水文监测领域的传统感知。全感通系统定义了统一的水文空间坐标系和统一的数据标准传输协议。统一的水文空间坐标系便于实现不同类型的水文监测设备的测点的空间坐标统一。统一的数据传输协议规定了数据报文传输的标准格式，便于不同类型的监测设备采集到的水文水信息数据的统一编解码、传输、处理。全感通具有集约化建设、多要素采集，智能化管理、简易化运维、无人化值守、虚实融合互动的特点。主要功能是监测水文要素</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信息统一管理</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数据集中展示。</w:t>
            </w:r>
          </w:p>
          <w:p w14:paraId="11D4E3D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主要指标：</w:t>
            </w:r>
          </w:p>
          <w:p w14:paraId="4306164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测量指标：水位、流速、流量、泥沙、气象（可选配）</w:t>
            </w:r>
          </w:p>
          <w:p w14:paraId="7B57ECC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测量间隔：5min（可设置，支持加测）</w:t>
            </w:r>
          </w:p>
          <w:p w14:paraId="45E59DE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通讯方式：4G/5G，微波，电台，wifi，卫星等</w:t>
            </w:r>
          </w:p>
          <w:p w14:paraId="264C3C7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测量软件：WISH平台</w:t>
            </w:r>
          </w:p>
          <w:p w14:paraId="51FEFD8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交互方式：触摸屏</w:t>
            </w:r>
          </w:p>
        </w:tc>
      </w:tr>
      <w:tr w14:paraId="6A2775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136" w:type="dxa"/>
            <w:vAlign w:val="center"/>
          </w:tcPr>
          <w:p w14:paraId="3B35B0C4">
            <w:pPr>
              <w:pStyle w:val="39"/>
              <w:pageBreakBefore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5"/>
                <w:sz w:val="24"/>
                <w:szCs w:val="24"/>
              </w:rPr>
              <w:t>主要完成人</w:t>
            </w:r>
          </w:p>
        </w:tc>
        <w:tc>
          <w:tcPr>
            <w:tcW w:w="7235" w:type="dxa"/>
            <w:gridSpan w:val="5"/>
            <w:vAlign w:val="top"/>
          </w:tcPr>
          <w:p w14:paraId="74112E1F">
            <w:pPr>
              <w:pStyle w:val="39"/>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eastAsiaTheme="minorEastAsia"/>
                <w:snapToGrid w:val="0"/>
                <w:color w:val="000000"/>
                <w:kern w:val="0"/>
                <w:sz w:val="24"/>
                <w:szCs w:val="24"/>
                <w:highlight w:val="yellow"/>
                <w:lang w:val="en-US" w:eastAsia="zh-CN" w:bidi="ar-SA"/>
              </w:rPr>
            </w:pPr>
            <w:r>
              <w:rPr>
                <w:rFonts w:hint="default" w:ascii="宋体" w:hAnsi="宋体" w:cs="Times New Roman" w:eastAsiaTheme="minorEastAsia"/>
                <w:snapToGrid w:val="0"/>
                <w:color w:val="000000"/>
                <w:kern w:val="0"/>
                <w:sz w:val="24"/>
                <w:szCs w:val="24"/>
                <w:highlight w:val="none"/>
                <w:lang w:val="en-US" w:eastAsia="zh-CN" w:bidi="ar-SA"/>
              </w:rPr>
              <w:t>阮哲伟，刘中奎，刘上瑜，曹淼，卢晶晶，郑晓</w:t>
            </w:r>
          </w:p>
        </w:tc>
      </w:tr>
      <w:tr w14:paraId="0617E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jc w:val="center"/>
        </w:trPr>
        <w:tc>
          <w:tcPr>
            <w:tcW w:w="2136" w:type="dxa"/>
            <w:vAlign w:val="center"/>
          </w:tcPr>
          <w:p w14:paraId="0E05A3B5">
            <w:pPr>
              <w:pStyle w:val="39"/>
              <w:pageBreakBefore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b w:val="0"/>
                <w:bCs w:val="0"/>
                <w:spacing w:val="-5"/>
                <w:sz w:val="24"/>
                <w:szCs w:val="24"/>
                <w:lang w:val="en-US" w:eastAsia="zh-CN"/>
              </w:rPr>
            </w:pPr>
            <w:r>
              <w:rPr>
                <w:rFonts w:hint="default" w:ascii="宋体" w:hAnsi="宋体" w:cs="Times New Roman" w:eastAsiaTheme="minorEastAsia"/>
                <w:b w:val="0"/>
                <w:bCs w:val="0"/>
                <w:spacing w:val="-5"/>
                <w:sz w:val="24"/>
                <w:szCs w:val="24"/>
                <w:lang w:val="en-US" w:eastAsia="zh-CN"/>
              </w:rPr>
              <w:t>鉴定认证、专利与</w:t>
            </w:r>
          </w:p>
          <w:p w14:paraId="603DAF5C">
            <w:pPr>
              <w:pStyle w:val="39"/>
              <w:pageBreakBefore w:val="0"/>
              <w:kinsoku/>
              <w:wordWrap/>
              <w:overflowPunct/>
              <w:topLinePunct w:val="0"/>
              <w:bidi w:val="0"/>
              <w:adjustRightInd w:val="0"/>
              <w:snapToGrid w:val="0"/>
              <w:spacing w:beforeAutospacing="0" w:afterAutospacing="0" w:line="440" w:lineRule="exact"/>
              <w:ind w:left="0" w:leftChars="0" w:right="0" w:rightChars="0" w:firstLine="0" w:firstLineChars="0"/>
              <w:jc w:val="center"/>
              <w:textAlignment w:val="auto"/>
              <w:rPr>
                <w:rFonts w:hint="default" w:ascii="宋体" w:hAnsi="宋体" w:cs="Times New Roman" w:eastAsiaTheme="minorEastAsia"/>
                <w:b w:val="0"/>
                <w:bCs w:val="0"/>
                <w:spacing w:val="-5"/>
                <w:kern w:val="2"/>
                <w:sz w:val="24"/>
                <w:szCs w:val="24"/>
                <w:lang w:val="en-US" w:eastAsia="zh-CN" w:bidi="ar-SA"/>
              </w:rPr>
            </w:pPr>
            <w:r>
              <w:rPr>
                <w:rFonts w:hint="default" w:ascii="宋体" w:hAnsi="宋体" w:cs="Times New Roman" w:eastAsiaTheme="minorEastAsia"/>
                <w:b w:val="0"/>
                <w:bCs w:val="0"/>
                <w:spacing w:val="-5"/>
                <w:sz w:val="24"/>
                <w:szCs w:val="24"/>
                <w:lang w:val="en-US" w:eastAsia="zh-CN"/>
              </w:rPr>
              <w:t>获奖情况等</w:t>
            </w:r>
          </w:p>
        </w:tc>
        <w:tc>
          <w:tcPr>
            <w:tcW w:w="7235" w:type="dxa"/>
            <w:gridSpan w:val="5"/>
            <w:vAlign w:val="center"/>
          </w:tcPr>
          <w:p w14:paraId="4A4BA1D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全感通于2023年1月中旬全面完成集成调试并实现全部功能。鉴定认证与专利正在申请中。</w:t>
            </w:r>
          </w:p>
        </w:tc>
      </w:tr>
      <w:tr w14:paraId="6C48A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136" w:type="dxa"/>
            <w:vAlign w:val="center"/>
          </w:tcPr>
          <w:p w14:paraId="43AA3974">
            <w:pPr>
              <w:pStyle w:val="39"/>
              <w:pageBreakBefore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1"/>
                <w:sz w:val="24"/>
                <w:szCs w:val="24"/>
              </w:rPr>
              <w:t>适用范围</w:t>
            </w:r>
          </w:p>
        </w:tc>
        <w:tc>
          <w:tcPr>
            <w:tcW w:w="7235" w:type="dxa"/>
            <w:gridSpan w:val="5"/>
            <w:vAlign w:val="top"/>
          </w:tcPr>
          <w:p w14:paraId="1BB4252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适用于重点水文站、水库、河湖岸线、山洪灾害、渠道水网等野外测量环境。</w:t>
            </w:r>
          </w:p>
        </w:tc>
      </w:tr>
      <w:tr w14:paraId="6A3DB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2136" w:type="dxa"/>
            <w:vAlign w:val="center"/>
          </w:tcPr>
          <w:p w14:paraId="0176364A">
            <w:pPr>
              <w:pStyle w:val="39"/>
              <w:pageBreakBefore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b w:val="0"/>
                <w:bCs w:val="0"/>
                <w:sz w:val="24"/>
                <w:szCs w:val="24"/>
              </w:rPr>
            </w:pPr>
            <w:r>
              <w:rPr>
                <w:rFonts w:hint="default" w:ascii="宋体" w:hAnsi="宋体" w:cs="Times New Roman" w:eastAsiaTheme="minorEastAsia"/>
                <w:b w:val="0"/>
                <w:bCs w:val="0"/>
                <w:spacing w:val="-4"/>
                <w:sz w:val="24"/>
                <w:szCs w:val="24"/>
              </w:rPr>
              <w:t>应用工程及效益</w:t>
            </w:r>
          </w:p>
        </w:tc>
        <w:tc>
          <w:tcPr>
            <w:tcW w:w="7235" w:type="dxa"/>
            <w:gridSpan w:val="5"/>
            <w:vAlign w:val="top"/>
          </w:tcPr>
          <w:p w14:paraId="13CCA1E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全感通产品已在水利部长江水利委员会水文局城陵矶站点投入使用。</w:t>
            </w:r>
          </w:p>
          <w:p w14:paraId="05ADC98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2018年4月25日，习近平总书记来到岳阳城陵矶水文站了解长江湖南段和洞庭湖流域水资源综合监测管理、防灾减灾情况，鼓励大家继续做好长江保护和修复工作。为积极响应习</w:t>
            </w:r>
            <w:r>
              <w:rPr>
                <w:rFonts w:hint="eastAsia" w:ascii="宋体" w:hAnsi="宋体" w:eastAsia="宋体" w:cs="Times New Roman"/>
                <w:kern w:val="0"/>
                <w:sz w:val="24"/>
                <w:szCs w:val="24"/>
                <w:lang w:val="en-US" w:eastAsia="zh-CN" w:bidi="ar-SA"/>
              </w:rPr>
              <w:t>近平</w:t>
            </w:r>
            <w:r>
              <w:rPr>
                <w:rFonts w:hint="default" w:ascii="宋体" w:hAnsi="宋体" w:eastAsia="宋体" w:cs="Times New Roman"/>
                <w:kern w:val="0"/>
                <w:sz w:val="24"/>
                <w:szCs w:val="24"/>
                <w:lang w:val="en-US" w:eastAsia="zh-CN" w:bidi="ar-SA"/>
              </w:rPr>
              <w:t>总书记</w:t>
            </w:r>
            <w:r>
              <w:rPr>
                <w:rFonts w:hint="eastAsia" w:ascii="宋体" w:hAnsi="宋体" w:eastAsia="宋体" w:cs="Times New Roman"/>
                <w:kern w:val="0"/>
                <w:sz w:val="24"/>
                <w:szCs w:val="24"/>
                <w:lang w:val="en-US" w:eastAsia="zh-CN" w:bidi="ar-SA"/>
              </w:rPr>
              <w:t>重要</w:t>
            </w:r>
            <w:r>
              <w:rPr>
                <w:rFonts w:hint="default" w:ascii="宋体" w:hAnsi="宋体" w:eastAsia="宋体" w:cs="Times New Roman"/>
                <w:kern w:val="0"/>
                <w:sz w:val="24"/>
                <w:szCs w:val="24"/>
                <w:lang w:val="en-US" w:eastAsia="zh-CN" w:bidi="ar-SA"/>
              </w:rPr>
              <w:t>指示，扎实深入推进“回头看”工作，将全感通投产的第一站定在了城陵矶，用实际行动守护好一江碧水。</w:t>
            </w:r>
          </w:p>
          <w:p w14:paraId="44CCD5B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为将城陵矶水文站建设成最先进的水文站，2022年2月份完成了城陵矶水文站全感通应用方案。2022年3月份至4月份完成了全感通的制作及软件界面设计与实现，已于2022年6月完成安装，并</w:t>
            </w:r>
            <w:r>
              <w:rPr>
                <w:rFonts w:hint="eastAsia" w:ascii="宋体" w:hAnsi="宋体" w:eastAsia="宋体" w:cs="Times New Roman"/>
                <w:kern w:val="0"/>
                <w:sz w:val="24"/>
                <w:szCs w:val="24"/>
                <w:lang w:val="en-US" w:eastAsia="zh-CN" w:bidi="ar-SA"/>
              </w:rPr>
              <w:t>于</w:t>
            </w:r>
            <w:r>
              <w:rPr>
                <w:rFonts w:hint="default" w:ascii="宋体" w:hAnsi="宋体" w:eastAsia="宋体" w:cs="Times New Roman"/>
                <w:kern w:val="0"/>
                <w:sz w:val="24"/>
                <w:szCs w:val="24"/>
                <w:lang w:val="en-US" w:eastAsia="zh-CN" w:bidi="ar-SA"/>
              </w:rPr>
              <w:t>7月7日开始集中完成后续工作，于2023年1月中旬全面完成城陵矶全感通集成调试并实现全部功能。</w:t>
            </w:r>
          </w:p>
          <w:p w14:paraId="6EAADB8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水利部长江水利委员会水文局在城陵矶水文站引入全感通产品后，实现了野外河道的水位、流速、流量、气象等多元素感知融合，提高了水文监测的智能水平，为推进流域水文高质量发展奠定基础。</w:t>
            </w:r>
          </w:p>
        </w:tc>
      </w:tr>
    </w:tbl>
    <w:p w14:paraId="2B243F73">
      <w:pPr>
        <w:pStyle w:val="4"/>
        <w:keepNext/>
        <w:keepLines/>
        <w:pageBreakBefore/>
        <w:widowControl w:val="0"/>
        <w:kinsoku/>
        <w:wordWrap/>
        <w:overflowPunct/>
        <w:topLinePunct w:val="0"/>
        <w:autoSpaceDE/>
        <w:autoSpaceDN/>
        <w:bidi w:val="0"/>
        <w:adjustRightInd/>
        <w:snapToGrid/>
        <w:spacing w:before="140" w:after="140" w:line="240" w:lineRule="auto"/>
        <w:textAlignment w:val="auto"/>
        <w:rPr>
          <w:rFonts w:hint="default" w:ascii="宋体" w:hAnsi="宋体" w:cs="Times New Roman"/>
          <w:sz w:val="28"/>
          <w:szCs w:val="28"/>
          <w:lang w:val="en-US" w:eastAsia="zh-CN"/>
        </w:rPr>
      </w:pPr>
      <w:bookmarkStart w:id="8" w:name="_Toc23377"/>
      <w:r>
        <w:rPr>
          <w:rFonts w:hint="default" w:ascii="宋体" w:hAnsi="宋体" w:cs="Times New Roman"/>
          <w:sz w:val="28"/>
          <w:szCs w:val="28"/>
          <w:lang w:val="en-US" w:eastAsia="zh-CN"/>
        </w:rPr>
        <w:t>2.</w:t>
      </w:r>
      <w:r>
        <w:rPr>
          <w:rFonts w:hint="eastAsia" w:ascii="宋体" w:hAnsi="宋体" w:cs="Times New Roman"/>
          <w:sz w:val="28"/>
          <w:szCs w:val="28"/>
          <w:lang w:val="en-US" w:eastAsia="zh-CN"/>
        </w:rPr>
        <w:t>4</w:t>
      </w:r>
      <w:r>
        <w:rPr>
          <w:rFonts w:hint="default" w:ascii="宋体" w:hAnsi="宋体" w:cs="Times New Roman"/>
          <w:sz w:val="28"/>
          <w:szCs w:val="28"/>
          <w:lang w:val="en-US" w:eastAsia="zh-CN"/>
        </w:rPr>
        <w:t xml:space="preserve"> 高精度大量程比DJWM型超声水表、超声流量计及物联网智能水表</w:t>
      </w:r>
      <w:bookmarkEnd w:id="8"/>
    </w:p>
    <w:tbl>
      <w:tblPr>
        <w:tblStyle w:val="28"/>
        <w:tblW w:w="935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70"/>
        <w:gridCol w:w="1330"/>
        <w:gridCol w:w="1045"/>
        <w:gridCol w:w="1567"/>
        <w:gridCol w:w="1207"/>
        <w:gridCol w:w="2034"/>
      </w:tblGrid>
      <w:tr w14:paraId="2F7F21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70" w:type="dxa"/>
            <w:tcBorders>
              <w:tl2br w:val="nil"/>
              <w:tr2bl w:val="nil"/>
            </w:tcBorders>
            <w:tcMar>
              <w:top w:w="0" w:type="dxa"/>
              <w:left w:w="108" w:type="dxa"/>
              <w:bottom w:w="0" w:type="dxa"/>
              <w:right w:w="108" w:type="dxa"/>
            </w:tcMar>
            <w:vAlign w:val="center"/>
          </w:tcPr>
          <w:p w14:paraId="4A92A2A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183" w:type="dxa"/>
            <w:gridSpan w:val="5"/>
            <w:tcBorders>
              <w:tl2br w:val="nil"/>
              <w:tr2bl w:val="nil"/>
            </w:tcBorders>
            <w:tcMar>
              <w:top w:w="0" w:type="dxa"/>
              <w:left w:w="108" w:type="dxa"/>
              <w:bottom w:w="0" w:type="dxa"/>
              <w:right w:w="108" w:type="dxa"/>
            </w:tcMar>
            <w:vAlign w:val="center"/>
          </w:tcPr>
          <w:p w14:paraId="7E65554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高精度大量程比DJWM型超声水表、超声流量计及物联网智能水表</w:t>
            </w:r>
          </w:p>
        </w:tc>
      </w:tr>
      <w:tr w14:paraId="6E6557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70" w:type="dxa"/>
            <w:tcBorders>
              <w:tl2br w:val="nil"/>
              <w:tr2bl w:val="nil"/>
            </w:tcBorders>
            <w:tcMar>
              <w:top w:w="0" w:type="dxa"/>
              <w:left w:w="108" w:type="dxa"/>
              <w:bottom w:w="0" w:type="dxa"/>
              <w:right w:w="108" w:type="dxa"/>
            </w:tcMar>
            <w:vAlign w:val="center"/>
          </w:tcPr>
          <w:p w14:paraId="27D3FE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183" w:type="dxa"/>
            <w:gridSpan w:val="5"/>
            <w:tcBorders>
              <w:tl2br w:val="nil"/>
              <w:tr2bl w:val="nil"/>
            </w:tcBorders>
            <w:tcMar>
              <w:top w:w="0" w:type="dxa"/>
              <w:left w:w="108" w:type="dxa"/>
              <w:bottom w:w="0" w:type="dxa"/>
              <w:right w:w="108" w:type="dxa"/>
            </w:tcMar>
            <w:vAlign w:val="center"/>
          </w:tcPr>
          <w:p w14:paraId="7D4AB7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rPr>
              <w:t>苏州东剑智能科技有限公司</w:t>
            </w:r>
          </w:p>
        </w:tc>
      </w:tr>
      <w:tr w14:paraId="73E61D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2" w:hRule="exact"/>
          <w:jc w:val="center"/>
        </w:trPr>
        <w:tc>
          <w:tcPr>
            <w:tcW w:w="2170" w:type="dxa"/>
            <w:tcBorders>
              <w:tl2br w:val="nil"/>
              <w:tr2bl w:val="nil"/>
            </w:tcBorders>
            <w:tcMar>
              <w:top w:w="0" w:type="dxa"/>
              <w:left w:w="108" w:type="dxa"/>
              <w:bottom w:w="0" w:type="dxa"/>
              <w:right w:w="108" w:type="dxa"/>
            </w:tcMar>
            <w:vAlign w:val="center"/>
          </w:tcPr>
          <w:p w14:paraId="6ABEB29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3942" w:type="dxa"/>
            <w:gridSpan w:val="3"/>
            <w:tcBorders>
              <w:tl2br w:val="nil"/>
              <w:tr2bl w:val="nil"/>
            </w:tcBorders>
            <w:tcMar>
              <w:top w:w="0" w:type="dxa"/>
              <w:left w:w="108" w:type="dxa"/>
              <w:bottom w:w="0" w:type="dxa"/>
              <w:right w:w="108" w:type="dxa"/>
            </w:tcMar>
            <w:vAlign w:val="center"/>
          </w:tcPr>
          <w:p w14:paraId="1636826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苏州高新区五台山路588号苏州科技城工业坊C区1号楼-1-102</w:t>
            </w:r>
          </w:p>
        </w:tc>
        <w:tc>
          <w:tcPr>
            <w:tcW w:w="1207" w:type="dxa"/>
            <w:tcBorders>
              <w:tl2br w:val="nil"/>
              <w:tr2bl w:val="nil"/>
            </w:tcBorders>
            <w:tcMar>
              <w:top w:w="0" w:type="dxa"/>
              <w:left w:w="108" w:type="dxa"/>
              <w:bottom w:w="0" w:type="dxa"/>
              <w:right w:w="108" w:type="dxa"/>
            </w:tcMar>
            <w:vAlign w:val="center"/>
          </w:tcPr>
          <w:p w14:paraId="6FB3E3D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2034" w:type="dxa"/>
            <w:tcBorders>
              <w:tl2br w:val="nil"/>
              <w:tr2bl w:val="nil"/>
            </w:tcBorders>
            <w:tcMar>
              <w:top w:w="0" w:type="dxa"/>
              <w:left w:w="108" w:type="dxa"/>
              <w:bottom w:w="0" w:type="dxa"/>
              <w:right w:w="108" w:type="dxa"/>
            </w:tcMar>
            <w:vAlign w:val="center"/>
          </w:tcPr>
          <w:p w14:paraId="2798D5F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215000</w:t>
            </w:r>
          </w:p>
        </w:tc>
      </w:tr>
      <w:tr w14:paraId="59572F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70" w:type="dxa"/>
            <w:tcBorders>
              <w:tl2br w:val="nil"/>
              <w:tr2bl w:val="nil"/>
            </w:tcBorders>
            <w:tcMar>
              <w:top w:w="0" w:type="dxa"/>
              <w:left w:w="108" w:type="dxa"/>
              <w:bottom w:w="0" w:type="dxa"/>
              <w:right w:w="108" w:type="dxa"/>
            </w:tcMar>
            <w:vAlign w:val="center"/>
          </w:tcPr>
          <w:p w14:paraId="64F0E42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法人代表</w:t>
            </w:r>
          </w:p>
        </w:tc>
        <w:tc>
          <w:tcPr>
            <w:tcW w:w="1330" w:type="dxa"/>
            <w:tcBorders>
              <w:tl2br w:val="nil"/>
              <w:tr2bl w:val="nil"/>
            </w:tcBorders>
            <w:tcMar>
              <w:top w:w="0" w:type="dxa"/>
              <w:left w:w="108" w:type="dxa"/>
              <w:bottom w:w="0" w:type="dxa"/>
              <w:right w:w="108" w:type="dxa"/>
            </w:tcMar>
            <w:vAlign w:val="center"/>
          </w:tcPr>
          <w:p w14:paraId="133D5CA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宋正荣</w:t>
            </w:r>
          </w:p>
        </w:tc>
        <w:tc>
          <w:tcPr>
            <w:tcW w:w="1045" w:type="dxa"/>
            <w:tcBorders>
              <w:tl2br w:val="nil"/>
              <w:tr2bl w:val="nil"/>
            </w:tcBorders>
            <w:tcMar>
              <w:top w:w="0" w:type="dxa"/>
              <w:left w:w="108" w:type="dxa"/>
              <w:bottom w:w="0" w:type="dxa"/>
              <w:right w:w="108" w:type="dxa"/>
            </w:tcMar>
            <w:vAlign w:val="center"/>
          </w:tcPr>
          <w:p w14:paraId="77547B5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职务</w:t>
            </w:r>
          </w:p>
        </w:tc>
        <w:tc>
          <w:tcPr>
            <w:tcW w:w="1567" w:type="dxa"/>
            <w:tcBorders>
              <w:tl2br w:val="nil"/>
              <w:tr2bl w:val="nil"/>
            </w:tcBorders>
            <w:tcMar>
              <w:top w:w="0" w:type="dxa"/>
              <w:left w:w="108" w:type="dxa"/>
              <w:bottom w:w="0" w:type="dxa"/>
              <w:right w:w="108" w:type="dxa"/>
            </w:tcMar>
            <w:vAlign w:val="center"/>
          </w:tcPr>
          <w:p w14:paraId="3890439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董事长</w:t>
            </w:r>
          </w:p>
        </w:tc>
        <w:tc>
          <w:tcPr>
            <w:tcW w:w="1207" w:type="dxa"/>
            <w:tcBorders>
              <w:tl2br w:val="nil"/>
              <w:tr2bl w:val="nil"/>
            </w:tcBorders>
            <w:tcMar>
              <w:top w:w="0" w:type="dxa"/>
              <w:left w:w="108" w:type="dxa"/>
              <w:bottom w:w="0" w:type="dxa"/>
              <w:right w:w="108" w:type="dxa"/>
            </w:tcMar>
            <w:vAlign w:val="center"/>
          </w:tcPr>
          <w:p w14:paraId="1A401EA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2034" w:type="dxa"/>
            <w:tcBorders>
              <w:tl2br w:val="nil"/>
              <w:tr2bl w:val="nil"/>
            </w:tcBorders>
            <w:tcMar>
              <w:top w:w="0" w:type="dxa"/>
              <w:left w:w="108" w:type="dxa"/>
              <w:bottom w:w="0" w:type="dxa"/>
              <w:right w:w="108" w:type="dxa"/>
            </w:tcMar>
            <w:vAlign w:val="center"/>
          </w:tcPr>
          <w:p w14:paraId="42E4139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0512-66806988</w:t>
            </w:r>
          </w:p>
        </w:tc>
      </w:tr>
      <w:tr w14:paraId="1FC498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70" w:type="dxa"/>
            <w:tcBorders>
              <w:tl2br w:val="nil"/>
              <w:tr2bl w:val="nil"/>
            </w:tcBorders>
            <w:tcMar>
              <w:top w:w="0" w:type="dxa"/>
              <w:left w:w="108" w:type="dxa"/>
              <w:bottom w:w="0" w:type="dxa"/>
              <w:right w:w="108" w:type="dxa"/>
            </w:tcMar>
            <w:vAlign w:val="center"/>
          </w:tcPr>
          <w:p w14:paraId="632AD7B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330" w:type="dxa"/>
            <w:tcBorders>
              <w:tl2br w:val="nil"/>
              <w:tr2bl w:val="nil"/>
            </w:tcBorders>
            <w:tcMar>
              <w:top w:w="0" w:type="dxa"/>
              <w:left w:w="108" w:type="dxa"/>
              <w:bottom w:w="0" w:type="dxa"/>
              <w:right w:w="108" w:type="dxa"/>
            </w:tcMar>
            <w:vAlign w:val="center"/>
          </w:tcPr>
          <w:p w14:paraId="620BB59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val="en-US" w:eastAsia="zh-CN"/>
              </w:rPr>
              <w:t>施欣欣</w:t>
            </w:r>
          </w:p>
        </w:tc>
        <w:tc>
          <w:tcPr>
            <w:tcW w:w="1045" w:type="dxa"/>
            <w:tcBorders>
              <w:tl2br w:val="nil"/>
              <w:tr2bl w:val="nil"/>
            </w:tcBorders>
            <w:tcMar>
              <w:top w:w="0" w:type="dxa"/>
              <w:left w:w="108" w:type="dxa"/>
              <w:bottom w:w="0" w:type="dxa"/>
              <w:right w:w="108" w:type="dxa"/>
            </w:tcMar>
            <w:vAlign w:val="center"/>
          </w:tcPr>
          <w:p w14:paraId="3B85ED7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67" w:type="dxa"/>
            <w:tcBorders>
              <w:tl2br w:val="nil"/>
              <w:tr2bl w:val="nil"/>
            </w:tcBorders>
            <w:tcMar>
              <w:top w:w="0" w:type="dxa"/>
              <w:left w:w="108" w:type="dxa"/>
              <w:bottom w:w="0" w:type="dxa"/>
              <w:right w:w="108" w:type="dxa"/>
            </w:tcMar>
            <w:vAlign w:val="center"/>
          </w:tcPr>
          <w:p w14:paraId="75E6A9F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0512-66806988</w:t>
            </w:r>
          </w:p>
        </w:tc>
        <w:tc>
          <w:tcPr>
            <w:tcW w:w="1207" w:type="dxa"/>
            <w:tcBorders>
              <w:tl2br w:val="nil"/>
              <w:tr2bl w:val="nil"/>
            </w:tcBorders>
            <w:tcMar>
              <w:top w:w="0" w:type="dxa"/>
              <w:left w:w="108" w:type="dxa"/>
              <w:bottom w:w="0" w:type="dxa"/>
              <w:right w:w="108" w:type="dxa"/>
            </w:tcMar>
            <w:vAlign w:val="center"/>
          </w:tcPr>
          <w:p w14:paraId="2C77817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2034" w:type="dxa"/>
            <w:tcBorders>
              <w:tl2br w:val="nil"/>
              <w:tr2bl w:val="nil"/>
            </w:tcBorders>
            <w:tcMar>
              <w:top w:w="0" w:type="dxa"/>
              <w:left w:w="108" w:type="dxa"/>
              <w:bottom w:w="0" w:type="dxa"/>
              <w:right w:w="108" w:type="dxa"/>
            </w:tcMar>
            <w:vAlign w:val="center"/>
          </w:tcPr>
          <w:p w14:paraId="4475932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591901</w:t>
            </w:r>
            <w:r>
              <w:rPr>
                <w:rFonts w:hint="default" w:ascii="宋体" w:hAnsi="宋体" w:cs="Times New Roman" w:eastAsiaTheme="minorEastAsia"/>
                <w:kern w:val="0"/>
                <w:sz w:val="24"/>
                <w:szCs w:val="24"/>
              </w:rPr>
              <w:t>@qq.com</w:t>
            </w:r>
          </w:p>
        </w:tc>
      </w:tr>
      <w:tr w14:paraId="175E2E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70" w:type="dxa"/>
            <w:tcBorders>
              <w:tl2br w:val="nil"/>
              <w:tr2bl w:val="nil"/>
            </w:tcBorders>
            <w:tcMar>
              <w:top w:w="0" w:type="dxa"/>
              <w:left w:w="108" w:type="dxa"/>
              <w:bottom w:w="0" w:type="dxa"/>
              <w:right w:w="108" w:type="dxa"/>
            </w:tcMar>
            <w:vAlign w:val="center"/>
          </w:tcPr>
          <w:p w14:paraId="4A88AD9D">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183" w:type="dxa"/>
            <w:gridSpan w:val="5"/>
            <w:tcBorders>
              <w:tl2br w:val="nil"/>
              <w:tr2bl w:val="nil"/>
            </w:tcBorders>
            <w:tcMar>
              <w:top w:w="0" w:type="dxa"/>
              <w:left w:w="108" w:type="dxa"/>
              <w:bottom w:w="0" w:type="dxa"/>
              <w:right w:w="108" w:type="dxa"/>
            </w:tcMar>
            <w:vAlign w:val="center"/>
          </w:tcPr>
          <w:p w14:paraId="1D98D3B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根据云南省水利厅（2024）-1292文件精神，这次我们申报列入云南省水利先进实用技术（产品）推广指导目录3类产品由浙江欧雅斯智能科技有限公司申报，技术持有单位为苏州东剑智能科技有限公司，浙江欧雅斯智能科技有限公司是苏州东剑智能科技有限公司合资持股企业，其研发的先进技术（产品）也是我们欧雅斯公司使用和推广的先进技术（产品）。</w:t>
            </w:r>
          </w:p>
          <w:p w14:paraId="1801E5D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苏州东剑智能科技有限公司2012年4月</w:t>
            </w:r>
            <w:bookmarkStart w:id="30" w:name="_GoBack"/>
            <w:bookmarkEnd w:id="30"/>
            <w:r>
              <w:rPr>
                <w:rFonts w:hint="default" w:ascii="宋体" w:hAnsi="宋体" w:eastAsia="宋体" w:cs="Times New Roman"/>
                <w:kern w:val="0"/>
                <w:sz w:val="24"/>
                <w:szCs w:val="24"/>
                <w:lang w:val="en-US" w:eastAsia="zh-CN" w:bidi="ar-SA"/>
              </w:rPr>
              <w:t>成立于苏州科技城，注册资本人民币5000万元。公司与浙江大学苏州工业技术研究院建有智能计量仪表联合研发中心，专注于超声检测技术在流量测量领域的应用和相关计量产品、设备的研发、生产和销售。已有授权发明专利9项，实用新型50余项，软件著作权13项，并于2016、2019、2022连续三次获评国家高新技术企业；2022年获评“江苏省专精特新中小企业</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江苏省瞪羚企业”。</w:t>
            </w:r>
          </w:p>
          <w:p w14:paraId="64C042D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为了企业更好发展做大做强，充分发挥苏州东剑公司研发生产智能水表、超声波水表的一流技术优势，融合温州人在全国各地的人脉资源和利用温州当地成熟的产业链配套资源，去年年初，东剑公司与温州企业家共同出资，在温州市瓯江口成立浙江欧雅斯智能科技有限公司，注册资金5180万元，专注于智能水表、超声水表的研发与生产和销售。目前浙江欧雅斯公司生产证书齐全，销售市场拓展形势很好，已与国内10多个省几十家水务公司建立了业务关系。</w:t>
            </w:r>
          </w:p>
        </w:tc>
      </w:tr>
      <w:tr w14:paraId="33A77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70" w:type="dxa"/>
            <w:tcBorders>
              <w:tl2br w:val="nil"/>
              <w:tr2bl w:val="nil"/>
            </w:tcBorders>
            <w:tcMar>
              <w:top w:w="0" w:type="dxa"/>
              <w:left w:w="108" w:type="dxa"/>
              <w:bottom w:w="0" w:type="dxa"/>
              <w:right w:w="108" w:type="dxa"/>
            </w:tcMar>
            <w:vAlign w:val="center"/>
          </w:tcPr>
          <w:p w14:paraId="4589C5FE">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7183" w:type="dxa"/>
            <w:gridSpan w:val="5"/>
            <w:tcBorders>
              <w:tl2br w:val="nil"/>
              <w:tr2bl w:val="nil"/>
            </w:tcBorders>
            <w:tcMar>
              <w:top w:w="0" w:type="dxa"/>
              <w:left w:w="108" w:type="dxa"/>
              <w:bottom w:w="0" w:type="dxa"/>
              <w:right w:w="108" w:type="dxa"/>
            </w:tcMar>
            <w:vAlign w:val="center"/>
          </w:tcPr>
          <w:p w14:paraId="0912B24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一、超声水表及超声流量计</w:t>
            </w:r>
          </w:p>
          <w:p w14:paraId="29F3B4D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超声水表及超声流量计是采用公司授权发明专利“用于采用超声波进行流量测量的方法”的技术开发而成，利用了超声波在流体中顺水流传播速度与逆水流传播速度的差值求解流体的流速，从而计算出流体流量的方法，集成应用了抗干扰算法等技术，有效去除了因细微气泡或杂质对测量结果造成的影响，提高了测量的精度，节水效果好。</w:t>
            </w:r>
          </w:p>
          <w:p w14:paraId="2FBE0BC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公司潜心研发的DJWM系列超声水表，具备高量程比（500:1）、支持预付费功能，支持NB-IoT物联网应用，具有低始动流量、高灵敏度、现场安装便捷、能耐受严寒环境、整表功耗极低、使用寿命长、可靠性高等特点，可满足不同用户、不同使用场景的需求。主要代表产品为：DJWM84系列（户用预付费物联网表）、DJWM85系列（户用高量程比物联网表）、DJWM-P2系列（高量程比纯净水/直饮水表）、DJWM68系列（大口径、不锈钢、多声道系列表）。</w:t>
            </w:r>
          </w:p>
          <w:p w14:paraId="39923C8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二、物联网智能水表</w:t>
            </w:r>
          </w:p>
          <w:p w14:paraId="33447FE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物联网智能水表是基于窄带蜂窝技术无线通讯的低功耗无线远传水表，采用分体式设计，电子单元安装在独立的全密封腔体内，防水性能达到IP68等级，不改变传统湿式水表结构，不影响湿式水表计量精度及灵敏度，是自动抄表系统中机电一体的电子远传水表，产品采用微功耗设计，编码校验技术，具有灵敏度高，抗干扰能力强，传输距离远等特点。物联网智能水表采用旋翼湿式计量结构，具有计量精度高、始动流量小、抄表方便、</w:t>
            </w:r>
            <w:r>
              <w:rPr>
                <w:rFonts w:hint="eastAsia" w:ascii="宋体" w:hAnsi="宋体" w:eastAsia="宋体" w:cs="Times New Roman"/>
                <w:kern w:val="0"/>
                <w:sz w:val="24"/>
                <w:szCs w:val="24"/>
                <w:lang w:val="en-US" w:eastAsia="zh-CN" w:bidi="ar-SA"/>
              </w:rPr>
              <w:t>外形美观</w:t>
            </w:r>
            <w:r>
              <w:rPr>
                <w:rFonts w:hint="default" w:ascii="宋体" w:hAnsi="宋体" w:eastAsia="宋体" w:cs="Times New Roman"/>
                <w:kern w:val="0"/>
                <w:sz w:val="24"/>
                <w:szCs w:val="24"/>
                <w:lang w:val="en-US" w:eastAsia="zh-CN" w:bidi="ar-SA"/>
              </w:rPr>
              <w:t>、安全卫生、寿命长等特点。智能水表配合智能抄表系统软件，完成智能抄读小区的水表数据，实现与结算中心</w:t>
            </w:r>
            <w:r>
              <w:rPr>
                <w:rFonts w:hint="eastAsia" w:ascii="宋体" w:hAnsi="宋体" w:eastAsia="宋体" w:cs="Times New Roman"/>
                <w:kern w:val="0"/>
                <w:sz w:val="24"/>
                <w:szCs w:val="24"/>
                <w:lang w:val="en-US" w:eastAsia="zh-CN" w:bidi="ar-SA"/>
              </w:rPr>
              <w:t>联网</w:t>
            </w:r>
            <w:r>
              <w:rPr>
                <w:rFonts w:hint="default" w:ascii="宋体" w:hAnsi="宋体" w:eastAsia="宋体" w:cs="Times New Roman"/>
                <w:kern w:val="0"/>
                <w:sz w:val="24"/>
                <w:szCs w:val="24"/>
                <w:lang w:val="en-US" w:eastAsia="zh-CN" w:bidi="ar-SA"/>
              </w:rPr>
              <w:t>数据共享。主要代表产品为：LXSY系列（物联网远传）、LXSF系列（物联网阀控水表）、LXRY系列（大口径物联网远传水表）。</w:t>
            </w:r>
          </w:p>
        </w:tc>
      </w:tr>
      <w:tr w14:paraId="0AD07E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70" w:type="dxa"/>
            <w:tcBorders>
              <w:tl2br w:val="nil"/>
              <w:tr2bl w:val="nil"/>
            </w:tcBorders>
            <w:tcMar>
              <w:top w:w="0" w:type="dxa"/>
              <w:left w:w="108" w:type="dxa"/>
              <w:bottom w:w="0" w:type="dxa"/>
              <w:right w:w="108" w:type="dxa"/>
            </w:tcMar>
            <w:vAlign w:val="center"/>
          </w:tcPr>
          <w:p w14:paraId="18BDEF8F">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主要完成人</w:t>
            </w:r>
          </w:p>
        </w:tc>
        <w:tc>
          <w:tcPr>
            <w:tcW w:w="7183" w:type="dxa"/>
            <w:gridSpan w:val="5"/>
            <w:tcBorders>
              <w:tl2br w:val="nil"/>
              <w:tr2bl w:val="nil"/>
            </w:tcBorders>
            <w:tcMar>
              <w:top w:w="0" w:type="dxa"/>
              <w:left w:w="108" w:type="dxa"/>
              <w:bottom w:w="0" w:type="dxa"/>
              <w:right w:w="108" w:type="dxa"/>
            </w:tcMar>
            <w:vAlign w:val="center"/>
          </w:tcPr>
          <w:p w14:paraId="173A1E3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宋正荣、裴健、夏木勇、张家明、单建国、冯志成</w:t>
            </w:r>
          </w:p>
        </w:tc>
      </w:tr>
      <w:tr w14:paraId="35F1E4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70" w:type="dxa"/>
            <w:tcBorders>
              <w:tl2br w:val="nil"/>
              <w:tr2bl w:val="nil"/>
            </w:tcBorders>
            <w:tcMar>
              <w:top w:w="0" w:type="dxa"/>
              <w:left w:w="108" w:type="dxa"/>
              <w:bottom w:w="0" w:type="dxa"/>
              <w:right w:w="108" w:type="dxa"/>
            </w:tcMar>
            <w:vAlign w:val="center"/>
          </w:tcPr>
          <w:p w14:paraId="7181E5BA">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183" w:type="dxa"/>
            <w:gridSpan w:val="5"/>
            <w:tcBorders>
              <w:tl2br w:val="nil"/>
              <w:tr2bl w:val="nil"/>
            </w:tcBorders>
            <w:tcMar>
              <w:top w:w="0" w:type="dxa"/>
              <w:left w:w="108" w:type="dxa"/>
              <w:bottom w:w="0" w:type="dxa"/>
              <w:right w:w="108" w:type="dxa"/>
            </w:tcMar>
            <w:vAlign w:val="center"/>
          </w:tcPr>
          <w:p w14:paraId="199D2E9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公司先后获得ISO9001质量管理体系认证证书、ISO14001环境管理体系认证书、ISO45001职业健康安全管理体系认证书、ISO10012测量管理体系认证、知识产权管理体系认证、售后服务完善程度十二星认证证书</w:t>
            </w:r>
          </w:p>
          <w:p w14:paraId="7B94F04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截至2024年2月已授权发明专利9项，实用新型50余项，软件著作权13项，并于2016、2019、2022连续三次获评国家高新技术企业；2022年获评“江苏省专精特新中小企业</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江苏省瞪羚企业”。</w:t>
            </w:r>
          </w:p>
          <w:p w14:paraId="724386F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公司建有“江苏省超声计量检测仪器工程技术中心”，主营产品“DJWM型智能化高精度超声水表”先后两次入选水利部“水利先进实用技术</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国家成熟适用节水技术”推广目录；新产品NB-IoT物联网超声水表，获市级打造先进制造业基地物联网专项资金支持。</w:t>
            </w:r>
          </w:p>
        </w:tc>
      </w:tr>
      <w:tr w14:paraId="061804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70" w:type="dxa"/>
            <w:tcBorders>
              <w:tl2br w:val="nil"/>
              <w:tr2bl w:val="nil"/>
            </w:tcBorders>
            <w:tcMar>
              <w:top w:w="0" w:type="dxa"/>
              <w:left w:w="108" w:type="dxa"/>
              <w:bottom w:w="0" w:type="dxa"/>
              <w:right w:w="108" w:type="dxa"/>
            </w:tcMar>
            <w:vAlign w:val="center"/>
          </w:tcPr>
          <w:p w14:paraId="35BA069E">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183" w:type="dxa"/>
            <w:gridSpan w:val="5"/>
            <w:tcBorders>
              <w:tl2br w:val="nil"/>
              <w:tr2bl w:val="nil"/>
            </w:tcBorders>
            <w:tcMar>
              <w:top w:w="0" w:type="dxa"/>
              <w:left w:w="108" w:type="dxa"/>
              <w:bottom w:w="0" w:type="dxa"/>
              <w:right w:w="108" w:type="dxa"/>
            </w:tcMar>
            <w:vAlign w:val="center"/>
          </w:tcPr>
          <w:p w14:paraId="39463F0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DJWM型超声水表、超声流量计及物联网智能水表作为领先于传统机械水表的新一代产品，可以无缝代换居民家中的已有水表，也可在统一供水监测点安装大口径流量计方便供水管网流量监测及管理，其优异的计量性能与运行状态自诊断和数据远传功能，不仅解决了传统机械水表数据采集费人费事的问题，而且还可以实现：</w:t>
            </w:r>
          </w:p>
          <w:p w14:paraId="688D6C1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1、通过实施分区计量，明确管网供水和配水功能，为供水调度提供决策支持，有利于供水管网的优化运行，从而进一步降低水厂电耗，进一步降低制水成本。</w:t>
            </w:r>
          </w:p>
          <w:p w14:paraId="51D1E1E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2、通过对各分区的漏损情况对比，有</w:t>
            </w:r>
            <w:r>
              <w:rPr>
                <w:rFonts w:hint="eastAsia" w:ascii="宋体" w:hAnsi="宋体" w:eastAsia="宋体" w:cs="Times New Roman"/>
                <w:kern w:val="0"/>
                <w:sz w:val="24"/>
                <w:szCs w:val="24"/>
                <w:lang w:val="en-US" w:eastAsia="zh-CN" w:bidi="ar-SA"/>
              </w:rPr>
              <w:t>针对性地</w:t>
            </w:r>
            <w:r>
              <w:rPr>
                <w:rFonts w:hint="default" w:ascii="宋体" w:hAnsi="宋体" w:eastAsia="宋体" w:cs="Times New Roman"/>
                <w:kern w:val="0"/>
                <w:sz w:val="24"/>
                <w:szCs w:val="24"/>
                <w:lang w:val="en-US" w:eastAsia="zh-CN" w:bidi="ar-SA"/>
              </w:rPr>
              <w:t>对重点漏损区域进行细化分区和安排有限的测漏人员进行重点探测，能快速发现管道漏损或爆管，可以降低企业管网漏损检测的成本，提高工作效率。</w:t>
            </w:r>
          </w:p>
          <w:p w14:paraId="27D6975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3、及时反馈和掌控了各区域水量和压力的变化，有利于避免暗装私接管道引发的偷盗水现象的发生，能更有效</w:t>
            </w:r>
            <w:r>
              <w:rPr>
                <w:rFonts w:hint="eastAsia" w:ascii="宋体" w:hAnsi="宋体" w:eastAsia="宋体" w:cs="Times New Roman"/>
                <w:kern w:val="0"/>
                <w:sz w:val="24"/>
                <w:szCs w:val="24"/>
                <w:lang w:val="en-US" w:eastAsia="zh-CN" w:bidi="ar-SA"/>
              </w:rPr>
              <w:t>地</w:t>
            </w:r>
            <w:r>
              <w:rPr>
                <w:rFonts w:hint="default" w:ascii="宋体" w:hAnsi="宋体" w:eastAsia="宋体" w:cs="Times New Roman"/>
                <w:kern w:val="0"/>
                <w:sz w:val="24"/>
                <w:szCs w:val="24"/>
                <w:lang w:val="en-US" w:eastAsia="zh-CN" w:bidi="ar-SA"/>
              </w:rPr>
              <w:t>避免漏损率的反弹，长期控制在较低区间。</w:t>
            </w:r>
          </w:p>
          <w:p w14:paraId="39D6A06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4、有利于管道预见性维修保养，将大量被动的爆管维修变成主动、有依据的维护、改造，降低管网维护成本，进一步减少管道突然爆管导致的用水高峰期等敏感时期片区停水，造成的不良社会影响。</w:t>
            </w:r>
          </w:p>
        </w:tc>
      </w:tr>
      <w:tr w14:paraId="35D1E1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970" w:hRule="atLeast"/>
          <w:jc w:val="center"/>
        </w:trPr>
        <w:tc>
          <w:tcPr>
            <w:tcW w:w="2170" w:type="dxa"/>
            <w:tcBorders>
              <w:tl2br w:val="nil"/>
              <w:tr2bl w:val="nil"/>
            </w:tcBorders>
            <w:tcMar>
              <w:top w:w="0" w:type="dxa"/>
              <w:left w:w="108" w:type="dxa"/>
              <w:bottom w:w="0" w:type="dxa"/>
              <w:right w:w="108" w:type="dxa"/>
            </w:tcMar>
            <w:vAlign w:val="center"/>
          </w:tcPr>
          <w:p w14:paraId="0AE6A750">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183" w:type="dxa"/>
            <w:gridSpan w:val="5"/>
            <w:tcBorders>
              <w:tl2br w:val="nil"/>
              <w:tr2bl w:val="nil"/>
            </w:tcBorders>
            <w:tcMar>
              <w:top w:w="0" w:type="dxa"/>
              <w:left w:w="108" w:type="dxa"/>
              <w:bottom w:w="0" w:type="dxa"/>
              <w:right w:w="108" w:type="dxa"/>
            </w:tcMar>
            <w:vAlign w:val="center"/>
          </w:tcPr>
          <w:p w14:paraId="23F0DB6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目前公司产品已在安徽、山东、浙江、湖北、福建、北京、</w:t>
            </w:r>
            <w:r>
              <w:rPr>
                <w:rFonts w:hint="eastAsia" w:ascii="宋体" w:hAnsi="宋体" w:eastAsia="宋体" w:cs="Times New Roman"/>
                <w:kern w:val="0"/>
                <w:sz w:val="24"/>
                <w:szCs w:val="24"/>
                <w:lang w:val="en-US" w:eastAsia="zh-CN" w:bidi="ar-SA"/>
              </w:rPr>
              <w:t>内蒙古</w:t>
            </w:r>
            <w:r>
              <w:rPr>
                <w:rFonts w:hint="default" w:ascii="宋体" w:hAnsi="宋体" w:eastAsia="宋体" w:cs="Times New Roman"/>
                <w:kern w:val="0"/>
                <w:sz w:val="24"/>
                <w:szCs w:val="24"/>
                <w:lang w:val="en-US" w:eastAsia="zh-CN" w:bidi="ar-SA"/>
              </w:rPr>
              <w:t>、云南等省</w:t>
            </w:r>
            <w:r>
              <w:rPr>
                <w:rFonts w:hint="eastAsia" w:ascii="宋体" w:hAnsi="宋体" w:eastAsia="宋体" w:cs="Times New Roman"/>
                <w:kern w:val="0"/>
                <w:sz w:val="24"/>
                <w:szCs w:val="24"/>
                <w:lang w:val="en-US" w:eastAsia="zh-CN" w:bidi="ar-SA"/>
              </w:rPr>
              <w:t>（区、市）</w:t>
            </w:r>
            <w:r>
              <w:rPr>
                <w:rFonts w:hint="default" w:ascii="宋体" w:hAnsi="宋体" w:eastAsia="宋体" w:cs="Times New Roman"/>
                <w:kern w:val="0"/>
                <w:sz w:val="24"/>
                <w:szCs w:val="24"/>
                <w:lang w:val="en-US" w:eastAsia="zh-CN" w:bidi="ar-SA"/>
              </w:rPr>
              <w:t>的居民小区、农村地区及用水管理站推广使用，反应良好。</w:t>
            </w:r>
          </w:p>
          <w:p w14:paraId="6AA60BD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1、水资源节约利用效果：</w:t>
            </w:r>
          </w:p>
          <w:p w14:paraId="57C892A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DN15户用水表为例：以典型居民小区（500户）为例，假设居民每天用水2h</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按现有水表始流动量（10L/h）对比本公司超声水表的低始动流量（2L/h）来计算。可以监测该小区每月节水240吨。</w:t>
            </w:r>
          </w:p>
          <w:p w14:paraId="754C4F3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2*8*30*500=240000升=240立方米≈240吨</w:t>
            </w:r>
          </w:p>
          <w:p w14:paraId="7761AA1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DN100大口径水表为例：假设某分区监测大口径水表每天24小时运行，根据本公司的高灵敏度超声水表对比机械水表，始动流量按上述户用表（DN15）的流量（流速等效）换算到DN100口径后，大约相差355.5L/h，则监测该分区一台大口径水表每月相差256吨。（实际大口径机械水表灵敏度偏差比户用表更大）</w:t>
            </w:r>
          </w:p>
          <w:p w14:paraId="089E6FC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355.5*24*30=256000升≈256吨</w:t>
            </w:r>
          </w:p>
          <w:p w14:paraId="12991C7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2、城乡供水保障效果：</w:t>
            </w:r>
          </w:p>
          <w:p w14:paraId="0B2A9F7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安装超声水表及物联网远传水表能够实时监测水管网内的水量，并将数据自动上传至云端。供水企业可以基于这些数据对供水管网进行准确评估和调整，从而提高供水管网的效率和稳定性。</w:t>
            </w:r>
          </w:p>
          <w:p w14:paraId="5E8F571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产品具备的远程抄表功能，可以大幅降低主动抄表的成本和工作量。节省了人力资源，还减少了因人为因素导致的抄表误差。通过自动化的数据采集和传输技术，供水企业更加便捷地获取用水数据，配合使用智慧水务管理系统，实现供水管网的智能化管理。计量数据的准确可靠，减少了因计量不准确导致的用水纠纷。同时，智慧化管理平台详细记录用水数据，为用户提供了更加透明、便捷的用水服务。</w:t>
            </w:r>
          </w:p>
        </w:tc>
      </w:tr>
    </w:tbl>
    <w:p w14:paraId="24619C01">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9" w:name="_Toc1815"/>
      <w:r>
        <w:rPr>
          <w:rFonts w:hint="default" w:ascii="宋体" w:hAnsi="宋体" w:cs="Times New Roman"/>
          <w:sz w:val="28"/>
          <w:szCs w:val="28"/>
          <w:lang w:val="en-US" w:eastAsia="zh-CN"/>
        </w:rPr>
        <w:t>2.5 综合一体式自动化雨量测量系统</w:t>
      </w:r>
      <w:bookmarkEnd w:id="9"/>
    </w:p>
    <w:tbl>
      <w:tblPr>
        <w:tblStyle w:val="28"/>
        <w:tblW w:w="926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211"/>
        <w:gridCol w:w="1261"/>
        <w:gridCol w:w="1092"/>
        <w:gridCol w:w="1724"/>
        <w:gridCol w:w="1242"/>
        <w:gridCol w:w="1737"/>
      </w:tblGrid>
      <w:tr w14:paraId="4D77BF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211" w:type="dxa"/>
            <w:tcBorders>
              <w:tl2br w:val="nil"/>
              <w:tr2bl w:val="nil"/>
            </w:tcBorders>
            <w:tcMar>
              <w:top w:w="0" w:type="dxa"/>
              <w:left w:w="108" w:type="dxa"/>
              <w:bottom w:w="0" w:type="dxa"/>
              <w:right w:w="108" w:type="dxa"/>
            </w:tcMar>
            <w:vAlign w:val="center"/>
          </w:tcPr>
          <w:p w14:paraId="653C975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056" w:type="dxa"/>
            <w:gridSpan w:val="5"/>
            <w:tcBorders>
              <w:tl2br w:val="nil"/>
              <w:tr2bl w:val="nil"/>
            </w:tcBorders>
            <w:tcMar>
              <w:top w:w="0" w:type="dxa"/>
              <w:left w:w="108" w:type="dxa"/>
              <w:bottom w:w="0" w:type="dxa"/>
              <w:right w:w="108" w:type="dxa"/>
            </w:tcMar>
            <w:vAlign w:val="center"/>
          </w:tcPr>
          <w:p w14:paraId="29824C9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综合一体式自动化雨量测量系统</w:t>
            </w:r>
          </w:p>
        </w:tc>
      </w:tr>
      <w:tr w14:paraId="014E59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211" w:type="dxa"/>
            <w:tcBorders>
              <w:tl2br w:val="nil"/>
              <w:tr2bl w:val="nil"/>
            </w:tcBorders>
            <w:tcMar>
              <w:top w:w="0" w:type="dxa"/>
              <w:left w:w="108" w:type="dxa"/>
              <w:bottom w:w="0" w:type="dxa"/>
              <w:right w:w="108" w:type="dxa"/>
            </w:tcMar>
            <w:vAlign w:val="center"/>
          </w:tcPr>
          <w:p w14:paraId="7F05CF0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056" w:type="dxa"/>
            <w:gridSpan w:val="5"/>
            <w:tcBorders>
              <w:tl2br w:val="nil"/>
              <w:tr2bl w:val="nil"/>
            </w:tcBorders>
            <w:tcMar>
              <w:top w:w="0" w:type="dxa"/>
              <w:left w:w="108" w:type="dxa"/>
              <w:bottom w:w="0" w:type="dxa"/>
              <w:right w:w="108" w:type="dxa"/>
            </w:tcMar>
            <w:vAlign w:val="center"/>
          </w:tcPr>
          <w:p w14:paraId="5C65800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广州和时通电子科技有限公司</w:t>
            </w:r>
          </w:p>
        </w:tc>
      </w:tr>
      <w:tr w14:paraId="690354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62" w:hRule="exact"/>
          <w:jc w:val="center"/>
        </w:trPr>
        <w:tc>
          <w:tcPr>
            <w:tcW w:w="2211" w:type="dxa"/>
            <w:tcBorders>
              <w:tl2br w:val="nil"/>
              <w:tr2bl w:val="nil"/>
            </w:tcBorders>
            <w:tcMar>
              <w:top w:w="0" w:type="dxa"/>
              <w:left w:w="108" w:type="dxa"/>
              <w:bottom w:w="0" w:type="dxa"/>
              <w:right w:w="108" w:type="dxa"/>
            </w:tcMar>
            <w:vAlign w:val="center"/>
          </w:tcPr>
          <w:p w14:paraId="6A2C42D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4077" w:type="dxa"/>
            <w:gridSpan w:val="3"/>
            <w:tcBorders>
              <w:tl2br w:val="nil"/>
              <w:tr2bl w:val="nil"/>
            </w:tcBorders>
            <w:tcMar>
              <w:top w:w="0" w:type="dxa"/>
              <w:left w:w="108" w:type="dxa"/>
              <w:bottom w:w="0" w:type="dxa"/>
              <w:right w:w="108" w:type="dxa"/>
            </w:tcMar>
            <w:vAlign w:val="center"/>
          </w:tcPr>
          <w:p w14:paraId="321BE32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广东省广州市番禺区石楼镇创启路63号创智26号楼</w:t>
            </w:r>
          </w:p>
        </w:tc>
        <w:tc>
          <w:tcPr>
            <w:tcW w:w="1242" w:type="dxa"/>
            <w:tcBorders>
              <w:tl2br w:val="nil"/>
              <w:tr2bl w:val="nil"/>
            </w:tcBorders>
            <w:tcMar>
              <w:top w:w="0" w:type="dxa"/>
              <w:left w:w="108" w:type="dxa"/>
              <w:bottom w:w="0" w:type="dxa"/>
              <w:right w:w="108" w:type="dxa"/>
            </w:tcMar>
            <w:vAlign w:val="center"/>
          </w:tcPr>
          <w:p w14:paraId="1C32C00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737" w:type="dxa"/>
            <w:tcBorders>
              <w:tl2br w:val="nil"/>
              <w:tr2bl w:val="nil"/>
            </w:tcBorders>
            <w:tcMar>
              <w:top w:w="0" w:type="dxa"/>
              <w:left w:w="108" w:type="dxa"/>
              <w:bottom w:w="0" w:type="dxa"/>
              <w:right w:w="108" w:type="dxa"/>
            </w:tcMar>
            <w:vAlign w:val="center"/>
          </w:tcPr>
          <w:p w14:paraId="76F6229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510000</w:t>
            </w:r>
          </w:p>
        </w:tc>
      </w:tr>
      <w:tr w14:paraId="57C4B6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211" w:type="dxa"/>
            <w:tcBorders>
              <w:tl2br w:val="nil"/>
              <w:tr2bl w:val="nil"/>
            </w:tcBorders>
            <w:tcMar>
              <w:top w:w="0" w:type="dxa"/>
              <w:left w:w="108" w:type="dxa"/>
              <w:bottom w:w="0" w:type="dxa"/>
              <w:right w:w="108" w:type="dxa"/>
            </w:tcMar>
            <w:vAlign w:val="center"/>
          </w:tcPr>
          <w:p w14:paraId="01D54DD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261" w:type="dxa"/>
            <w:tcBorders>
              <w:tl2br w:val="nil"/>
              <w:tr2bl w:val="nil"/>
            </w:tcBorders>
            <w:tcMar>
              <w:top w:w="0" w:type="dxa"/>
              <w:left w:w="108" w:type="dxa"/>
              <w:bottom w:w="0" w:type="dxa"/>
              <w:right w:w="108" w:type="dxa"/>
            </w:tcMar>
            <w:vAlign w:val="center"/>
          </w:tcPr>
          <w:p w14:paraId="619CB34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高洁</w:t>
            </w:r>
          </w:p>
        </w:tc>
        <w:tc>
          <w:tcPr>
            <w:tcW w:w="1092" w:type="dxa"/>
            <w:tcBorders>
              <w:tl2br w:val="nil"/>
              <w:tr2bl w:val="nil"/>
            </w:tcBorders>
            <w:tcMar>
              <w:top w:w="0" w:type="dxa"/>
              <w:left w:w="108" w:type="dxa"/>
              <w:bottom w:w="0" w:type="dxa"/>
              <w:right w:w="108" w:type="dxa"/>
            </w:tcMar>
            <w:vAlign w:val="center"/>
          </w:tcPr>
          <w:p w14:paraId="7220CB9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724" w:type="dxa"/>
            <w:tcBorders>
              <w:tl2br w:val="nil"/>
              <w:tr2bl w:val="nil"/>
            </w:tcBorders>
            <w:tcMar>
              <w:top w:w="0" w:type="dxa"/>
              <w:left w:w="108" w:type="dxa"/>
              <w:bottom w:w="0" w:type="dxa"/>
              <w:right w:w="108" w:type="dxa"/>
            </w:tcMar>
            <w:vAlign w:val="center"/>
          </w:tcPr>
          <w:p w14:paraId="75B19E3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总经理</w:t>
            </w:r>
          </w:p>
        </w:tc>
        <w:tc>
          <w:tcPr>
            <w:tcW w:w="1242" w:type="dxa"/>
            <w:tcBorders>
              <w:tl2br w:val="nil"/>
              <w:tr2bl w:val="nil"/>
            </w:tcBorders>
            <w:tcMar>
              <w:top w:w="0" w:type="dxa"/>
              <w:left w:w="108" w:type="dxa"/>
              <w:bottom w:w="0" w:type="dxa"/>
              <w:right w:w="108" w:type="dxa"/>
            </w:tcMar>
            <w:vAlign w:val="center"/>
          </w:tcPr>
          <w:p w14:paraId="0DCDCC0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1737" w:type="dxa"/>
            <w:tcBorders>
              <w:tl2br w:val="nil"/>
              <w:tr2bl w:val="nil"/>
            </w:tcBorders>
            <w:tcMar>
              <w:top w:w="0" w:type="dxa"/>
              <w:left w:w="108" w:type="dxa"/>
              <w:bottom w:w="0" w:type="dxa"/>
              <w:right w:w="108" w:type="dxa"/>
            </w:tcMar>
            <w:vAlign w:val="center"/>
          </w:tcPr>
          <w:p w14:paraId="663E0B1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020-82102671</w:t>
            </w:r>
          </w:p>
        </w:tc>
      </w:tr>
      <w:tr w14:paraId="452459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32" w:hRule="exact"/>
          <w:jc w:val="center"/>
        </w:trPr>
        <w:tc>
          <w:tcPr>
            <w:tcW w:w="2211" w:type="dxa"/>
            <w:tcBorders>
              <w:tl2br w:val="nil"/>
              <w:tr2bl w:val="nil"/>
            </w:tcBorders>
            <w:tcMar>
              <w:top w:w="0" w:type="dxa"/>
              <w:left w:w="108" w:type="dxa"/>
              <w:bottom w:w="0" w:type="dxa"/>
              <w:right w:w="108" w:type="dxa"/>
            </w:tcMar>
            <w:vAlign w:val="center"/>
          </w:tcPr>
          <w:p w14:paraId="2BA60A9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261" w:type="dxa"/>
            <w:tcBorders>
              <w:tl2br w:val="nil"/>
              <w:tr2bl w:val="nil"/>
            </w:tcBorders>
            <w:tcMar>
              <w:top w:w="0" w:type="dxa"/>
              <w:left w:w="108" w:type="dxa"/>
              <w:bottom w:w="0" w:type="dxa"/>
              <w:right w:w="108" w:type="dxa"/>
            </w:tcMar>
            <w:vAlign w:val="center"/>
          </w:tcPr>
          <w:p w14:paraId="44B4FB9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潘海萍</w:t>
            </w:r>
          </w:p>
        </w:tc>
        <w:tc>
          <w:tcPr>
            <w:tcW w:w="1092" w:type="dxa"/>
            <w:tcBorders>
              <w:tl2br w:val="nil"/>
              <w:tr2bl w:val="nil"/>
            </w:tcBorders>
            <w:tcMar>
              <w:top w:w="0" w:type="dxa"/>
              <w:left w:w="108" w:type="dxa"/>
              <w:bottom w:w="0" w:type="dxa"/>
              <w:right w:w="108" w:type="dxa"/>
            </w:tcMar>
            <w:vAlign w:val="center"/>
          </w:tcPr>
          <w:p w14:paraId="7B6DAAB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724" w:type="dxa"/>
            <w:tcBorders>
              <w:tl2br w:val="nil"/>
              <w:tr2bl w:val="nil"/>
            </w:tcBorders>
            <w:tcMar>
              <w:top w:w="0" w:type="dxa"/>
              <w:left w:w="108" w:type="dxa"/>
              <w:bottom w:w="0" w:type="dxa"/>
              <w:right w:w="108" w:type="dxa"/>
            </w:tcMar>
            <w:vAlign w:val="center"/>
          </w:tcPr>
          <w:p w14:paraId="395252F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020-82102671</w:t>
            </w:r>
          </w:p>
        </w:tc>
        <w:tc>
          <w:tcPr>
            <w:tcW w:w="1242" w:type="dxa"/>
            <w:tcBorders>
              <w:tl2br w:val="nil"/>
              <w:tr2bl w:val="nil"/>
            </w:tcBorders>
            <w:tcMar>
              <w:top w:w="0" w:type="dxa"/>
              <w:left w:w="108" w:type="dxa"/>
              <w:bottom w:w="0" w:type="dxa"/>
              <w:right w:w="108" w:type="dxa"/>
            </w:tcMar>
            <w:vAlign w:val="center"/>
          </w:tcPr>
          <w:p w14:paraId="670AE4E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737" w:type="dxa"/>
            <w:tcBorders>
              <w:tl2br w:val="nil"/>
              <w:tr2bl w:val="nil"/>
            </w:tcBorders>
            <w:tcMar>
              <w:top w:w="0" w:type="dxa"/>
              <w:left w:w="108" w:type="dxa"/>
              <w:bottom w:w="0" w:type="dxa"/>
              <w:right w:w="108" w:type="dxa"/>
            </w:tcMar>
            <w:vAlign w:val="center"/>
          </w:tcPr>
          <w:p w14:paraId="7FBF35F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support@hestoon.com</w:t>
            </w:r>
          </w:p>
        </w:tc>
      </w:tr>
      <w:tr w14:paraId="0041CA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211" w:type="dxa"/>
            <w:tcBorders>
              <w:tl2br w:val="nil"/>
              <w:tr2bl w:val="nil"/>
            </w:tcBorders>
            <w:tcMar>
              <w:top w:w="0" w:type="dxa"/>
              <w:left w:w="108" w:type="dxa"/>
              <w:bottom w:w="0" w:type="dxa"/>
              <w:right w:w="108" w:type="dxa"/>
            </w:tcMar>
            <w:vAlign w:val="center"/>
          </w:tcPr>
          <w:p w14:paraId="7BBB40DE">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056" w:type="dxa"/>
            <w:gridSpan w:val="5"/>
            <w:tcBorders>
              <w:tl2br w:val="nil"/>
              <w:tr2bl w:val="nil"/>
            </w:tcBorders>
            <w:tcMar>
              <w:top w:w="0" w:type="dxa"/>
              <w:left w:w="108" w:type="dxa"/>
              <w:bottom w:w="0" w:type="dxa"/>
              <w:right w:w="108" w:type="dxa"/>
            </w:tcMar>
            <w:vAlign w:val="center"/>
          </w:tcPr>
          <w:p w14:paraId="2F67D48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和时通是一家集海洋、湖库、</w:t>
            </w:r>
            <w:r>
              <w:rPr>
                <w:rFonts w:hint="eastAsia" w:ascii="宋体" w:hAnsi="宋体" w:eastAsia="宋体" w:cs="Times New Roman"/>
                <w:kern w:val="0"/>
                <w:sz w:val="24"/>
                <w:szCs w:val="24"/>
                <w:lang w:val="en-US" w:eastAsia="zh-CN" w:bidi="ar-SA"/>
              </w:rPr>
              <w:t>河流</w:t>
            </w:r>
            <w:r>
              <w:rPr>
                <w:rFonts w:hint="default" w:ascii="宋体" w:hAnsi="宋体" w:eastAsia="宋体" w:cs="Times New Roman"/>
                <w:kern w:val="0"/>
                <w:sz w:val="24"/>
                <w:szCs w:val="24"/>
                <w:lang w:val="en-US" w:eastAsia="zh-CN" w:bidi="ar-SA"/>
              </w:rPr>
              <w:t>等地表水自动化监测设备研发、供应、服务于一体的高新技术企业。自公司成立十多年以来，一直专注于为客户量身定制行业解决方案及交钥匙工程，是一家具备研发定制能力、专业系统设计生产能力、完善的售后服务能力的专业技术服务公司。经过10余年的发展，目前公司团队已经扩展到80多人，业务遍布广东省、浙江省、广西壮族自治区、云南省</w:t>
            </w:r>
            <w:r>
              <w:rPr>
                <w:rFonts w:hint="eastAsia" w:ascii="宋体" w:hAnsi="宋体" w:eastAsia="宋体" w:cs="Times New Roman"/>
                <w:kern w:val="0"/>
                <w:sz w:val="24"/>
                <w:szCs w:val="24"/>
                <w:lang w:val="en-US" w:eastAsia="zh-CN" w:bidi="ar-SA"/>
              </w:rPr>
              <w:t>等省（区）</w:t>
            </w:r>
            <w:r>
              <w:rPr>
                <w:rFonts w:hint="default" w:ascii="宋体" w:hAnsi="宋体" w:eastAsia="宋体" w:cs="Times New Roman"/>
                <w:kern w:val="0"/>
                <w:sz w:val="24"/>
                <w:szCs w:val="24"/>
                <w:lang w:val="en-US" w:eastAsia="zh-CN" w:bidi="ar-SA"/>
              </w:rPr>
              <w:t>区域，在河流、湖库、海洋等地表水环境中建设了流量系统700余套，海洋湖库浮标水质监测系统110余套，环保水质通量站50余套，为各省份业务部门的数字化智能化发展发挥了重要作用。公司注重提升自身研发实力，成立以来，研发团队发展扩大为20多人，申请专利41项，软著26项目</w:t>
            </w:r>
          </w:p>
        </w:tc>
      </w:tr>
      <w:tr w14:paraId="03CAD6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211" w:type="dxa"/>
            <w:tcBorders>
              <w:tl2br w:val="nil"/>
              <w:tr2bl w:val="nil"/>
            </w:tcBorders>
            <w:tcMar>
              <w:top w:w="0" w:type="dxa"/>
              <w:left w:w="108" w:type="dxa"/>
              <w:bottom w:w="0" w:type="dxa"/>
              <w:right w:w="108" w:type="dxa"/>
            </w:tcMar>
            <w:vAlign w:val="center"/>
          </w:tcPr>
          <w:p w14:paraId="3F6A2A41">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7056" w:type="dxa"/>
            <w:gridSpan w:val="5"/>
            <w:tcBorders>
              <w:tl2br w:val="nil"/>
              <w:tr2bl w:val="nil"/>
            </w:tcBorders>
            <w:tcMar>
              <w:top w:w="0" w:type="dxa"/>
              <w:left w:w="108" w:type="dxa"/>
              <w:bottom w:w="0" w:type="dxa"/>
              <w:right w:w="108" w:type="dxa"/>
            </w:tcMar>
            <w:vAlign w:val="center"/>
          </w:tcPr>
          <w:p w14:paraId="65F3F61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技术来源：自主研发</w:t>
            </w:r>
          </w:p>
          <w:p w14:paraId="7B99CC3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系统是为适应各水文气象站雨量测验的实际需要而研发的⼀体式雨量在线监测系统。系统由遥测终端机、翻斗式雨量计及太阳能供电系统组成，实时对降雨量数据进行采集、存储、处理和传输。整体由不锈钢制成，整体防腐蚀、抗冻裂，在恶劣条件情况下也能正常运行。</w:t>
            </w:r>
          </w:p>
          <w:p w14:paraId="5C9C5E9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技术特点：</w:t>
            </w:r>
          </w:p>
          <w:p w14:paraId="3C5FDFB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1.本系统设计及生产严格按照GB/T21978.2-2014《降水量观测仪器》国家标准要求，数据精确、可靠性高，不锈钢一体成型，高光洁度。</w:t>
            </w:r>
          </w:p>
          <w:p w14:paraId="50D0A2A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2.本系统一体化、轻便化设计和集成，具有极高的通用性和兼容性。无需额外安装供电和数据传输模块，不用复杂支架及施工，安全可靠，稳定性好；</w:t>
            </w:r>
          </w:p>
          <w:p w14:paraId="5518851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3.集雨量数据采集、存储、预警、报送和管理于一体，且具备一站多发，本系统可同步往3个中心站发送数据，互不冲突。</w:t>
            </w:r>
          </w:p>
          <w:p w14:paraId="688D9EB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4.兼容《水文监测数据通信规约》（SL651-2014）以及多省市多行业自定义通讯规约并根据用户需求进行上报数据，实现即装即用。</w:t>
            </w:r>
          </w:p>
          <w:p w14:paraId="4B56F34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5.续航时间久，高密度锂电池确保系统在连续阴雨天工作30天；</w:t>
            </w:r>
          </w:p>
          <w:p w14:paraId="091B288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6.多种连接配置方式（电脑软件、微信小程序app），且具备远程配置升级功能，可对设备进行远程配置、升级；</w:t>
            </w:r>
          </w:p>
          <w:p w14:paraId="5CE9879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7.状态跟踪，智能报警：根据用户配置条件和阈值，进行智能判别，针对异常系统将以短信和数据平台界面的形式通知管理⼈员。</w:t>
            </w:r>
          </w:p>
          <w:p w14:paraId="55168B4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技术功能：</w:t>
            </w:r>
          </w:p>
          <w:p w14:paraId="601A0CB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用于水文、气象、环保、海洋等多领域的降雨量监测，在防汛防洪、城市防涝、供水调度、电站水库库容监测等领域具有重要作用。</w:t>
            </w:r>
          </w:p>
          <w:p w14:paraId="4E5DBC1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技术指标：</w:t>
            </w:r>
          </w:p>
          <w:p w14:paraId="4112FD9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1、工作环境适应性：工作温度：-20℃～+75℃</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贮存温度：-40℃～+85℃，相对湿度95%（无凝结）；气压：86～106kPa</w:t>
            </w:r>
          </w:p>
          <w:p w14:paraId="3A260DA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2、承雨口内径：承雨口内径尺寸最大值为200.20mm，最小值为200.02mm，</w:t>
            </w:r>
          </w:p>
          <w:p w14:paraId="4EC582C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3、承雨口深度：承雨口内壁深度最大值为143.8mm，最小值为143.6mm，</w:t>
            </w:r>
          </w:p>
          <w:p w14:paraId="016F0A3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4、承雨口刃口角度：承雨口刃口角度为43°42′</w:t>
            </w:r>
          </w:p>
          <w:p w14:paraId="45C533E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5、灵敏阀：湿润损失为0.4mm，灵敏阈为0.9mm，6、分辨力：0.5mm；</w:t>
            </w:r>
          </w:p>
          <w:p w14:paraId="10A62DD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7、降雨强度测量范围：降雨强度检测范围为（0~4.0）mm；</w:t>
            </w:r>
          </w:p>
          <w:p w14:paraId="681A419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8、准确度、重复性误差：翻斗雨量计最大误差为-1.96%，重复性最大值为0.39%</w:t>
            </w:r>
          </w:p>
          <w:p w14:paraId="608E6B5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9、外壳防护性：满足IP67要求；</w:t>
            </w:r>
          </w:p>
          <w:p w14:paraId="221AEE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10、太阳能功率、电池容量：功率≥22W，电池容量≥17.4Ah；</w:t>
            </w:r>
          </w:p>
          <w:p w14:paraId="5184FDD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11、连续工作时长：无阳光可连续工作45天；</w:t>
            </w:r>
          </w:p>
          <w:p w14:paraId="10320C2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12、设备功耗：静态值守电流＜0.6mA，工作电流＜30mA；</w:t>
            </w:r>
          </w:p>
          <w:p w14:paraId="1DDBBFF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13、内部存储：固态存储芯片32MB，可存储1年以上的采集数据。</w:t>
            </w:r>
          </w:p>
        </w:tc>
      </w:tr>
      <w:tr w14:paraId="7D8F21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211" w:type="dxa"/>
            <w:tcBorders>
              <w:tl2br w:val="nil"/>
              <w:tr2bl w:val="nil"/>
            </w:tcBorders>
            <w:tcMar>
              <w:top w:w="0" w:type="dxa"/>
              <w:left w:w="108" w:type="dxa"/>
              <w:bottom w:w="0" w:type="dxa"/>
              <w:right w:w="108" w:type="dxa"/>
            </w:tcMar>
            <w:vAlign w:val="center"/>
          </w:tcPr>
          <w:p w14:paraId="5BB7BF28">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7056" w:type="dxa"/>
            <w:gridSpan w:val="5"/>
            <w:tcBorders>
              <w:tl2br w:val="nil"/>
              <w:tr2bl w:val="nil"/>
            </w:tcBorders>
            <w:tcMar>
              <w:top w:w="0" w:type="dxa"/>
              <w:left w:w="108" w:type="dxa"/>
              <w:bottom w:w="0" w:type="dxa"/>
              <w:right w:w="108" w:type="dxa"/>
            </w:tcMar>
            <w:vAlign w:val="center"/>
          </w:tcPr>
          <w:p w14:paraId="76DCAEFC">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left"/>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李旭光</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陈容</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高洁</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林勇全</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谭永鉴</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官辉明</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陈腾利</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莫文运</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常博</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潘海萍</w:t>
            </w:r>
          </w:p>
        </w:tc>
      </w:tr>
      <w:tr w14:paraId="205105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211" w:type="dxa"/>
            <w:tcBorders>
              <w:tl2br w:val="nil"/>
              <w:tr2bl w:val="nil"/>
            </w:tcBorders>
            <w:tcMar>
              <w:top w:w="0" w:type="dxa"/>
              <w:left w:w="108" w:type="dxa"/>
              <w:bottom w:w="0" w:type="dxa"/>
              <w:right w:w="108" w:type="dxa"/>
            </w:tcMar>
            <w:vAlign w:val="center"/>
          </w:tcPr>
          <w:p w14:paraId="351A394E">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056" w:type="dxa"/>
            <w:gridSpan w:val="5"/>
            <w:tcBorders>
              <w:tl2br w:val="nil"/>
              <w:tr2bl w:val="nil"/>
            </w:tcBorders>
            <w:tcMar>
              <w:top w:w="0" w:type="dxa"/>
              <w:left w:w="108" w:type="dxa"/>
              <w:bottom w:w="0" w:type="dxa"/>
              <w:right w:w="108" w:type="dxa"/>
            </w:tcMar>
            <w:vAlign w:val="center"/>
          </w:tcPr>
          <w:p w14:paraId="5017C85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1、获得华东水文仪器检测中心检测报告</w:t>
            </w:r>
          </w:p>
          <w:p w14:paraId="47C132B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2、专利证书：一体化雨量在线监测系统</w:t>
            </w:r>
          </w:p>
          <w:p w14:paraId="6749765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3、专利证书：数据采集与无线传输系统</w:t>
            </w:r>
          </w:p>
          <w:p w14:paraId="7408B2E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4、专利证书：一种遥测终端装置</w:t>
            </w:r>
          </w:p>
          <w:p w14:paraId="3B5378C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5、软件著作权证书</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和时通北斗通信接收软件</w:t>
            </w:r>
          </w:p>
          <w:p w14:paraId="5A14F63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6、软件著作权证书：RTU数据接收处理服务软件</w:t>
            </w:r>
          </w:p>
          <w:p w14:paraId="42B9F8C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7、软件著作权证书：和时通RTU微信小程序软件</w:t>
            </w:r>
          </w:p>
          <w:p w14:paraId="5963D34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8、软件著作权证书：和时通水文水资源信息与综合管理软件</w:t>
            </w:r>
          </w:p>
          <w:p w14:paraId="7F86F0B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9、入选2023年度《全国水利系统招标产品重点采购目录》</w:t>
            </w:r>
          </w:p>
        </w:tc>
      </w:tr>
      <w:tr w14:paraId="3131BD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211" w:type="dxa"/>
            <w:tcBorders>
              <w:tl2br w:val="nil"/>
              <w:tr2bl w:val="nil"/>
            </w:tcBorders>
            <w:tcMar>
              <w:top w:w="0" w:type="dxa"/>
              <w:left w:w="108" w:type="dxa"/>
              <w:bottom w:w="0" w:type="dxa"/>
              <w:right w:w="108" w:type="dxa"/>
            </w:tcMar>
            <w:vAlign w:val="center"/>
          </w:tcPr>
          <w:p w14:paraId="2541284E">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056" w:type="dxa"/>
            <w:gridSpan w:val="5"/>
            <w:tcBorders>
              <w:tl2br w:val="nil"/>
              <w:tr2bl w:val="nil"/>
            </w:tcBorders>
            <w:tcMar>
              <w:top w:w="0" w:type="dxa"/>
              <w:left w:w="108" w:type="dxa"/>
              <w:bottom w:w="0" w:type="dxa"/>
              <w:right w:w="108" w:type="dxa"/>
            </w:tcMar>
            <w:vAlign w:val="center"/>
          </w:tcPr>
          <w:p w14:paraId="3588CBF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系统于2020年研发测试完成并正式投入应用。目前已在云南省昆明水文局、大理水文局、丽江水文局、水利部珠江水利委员会、浙江省水文监测中心、福建省三明水文局等多地应用超过1000套。所有系统运行稳定，未出现硬件故障及数据异常表现。应用于水文、气象、环保、海洋等领域的降雨量监测，对防汛防洪涝、引配水、电站水库库容监测具有重要意义。</w:t>
            </w:r>
          </w:p>
        </w:tc>
      </w:tr>
      <w:tr w14:paraId="5A3DC4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211" w:type="dxa"/>
            <w:tcBorders>
              <w:tl2br w:val="nil"/>
              <w:tr2bl w:val="nil"/>
            </w:tcBorders>
            <w:tcMar>
              <w:top w:w="0" w:type="dxa"/>
              <w:left w:w="108" w:type="dxa"/>
              <w:bottom w:w="0" w:type="dxa"/>
              <w:right w:w="108" w:type="dxa"/>
            </w:tcMar>
            <w:vAlign w:val="center"/>
          </w:tcPr>
          <w:p w14:paraId="321AD075">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056" w:type="dxa"/>
            <w:gridSpan w:val="5"/>
            <w:tcBorders>
              <w:tl2br w:val="nil"/>
              <w:tr2bl w:val="nil"/>
            </w:tcBorders>
            <w:tcMar>
              <w:top w:w="0" w:type="dxa"/>
              <w:left w:w="108" w:type="dxa"/>
              <w:bottom w:w="0" w:type="dxa"/>
              <w:right w:w="108" w:type="dxa"/>
            </w:tcMar>
            <w:vAlign w:val="center"/>
          </w:tcPr>
          <w:p w14:paraId="23BA27F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典型应用案例1：</w:t>
            </w:r>
          </w:p>
          <w:p w14:paraId="108B234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云南国家基本水文站提档升级（一期）工程水文仪器设备采购项目（第一标段：水位雨量、自动蒸发等水文监测设施设备）：</w:t>
            </w:r>
          </w:p>
          <w:p w14:paraId="0AC42FA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项目在大理市贡山、丙中洛、顺濞桥、羊庄坪、黄坪、鹤庆、溜筒江、塘上、菁门等9个水文站建设雨量在线监测系统，本项目各站点分布区域广、从低海拔到高海拔的高原地区均有站点分布，部分站点光照时间段、冰冻天气等恶劣的现场环境也是对本系统的考验。针对本项目的要求和现场条件选用综合一体式自动化雨量测量系统，将大容量电池的RTU、太阳能供电系统、翻斗式雨量计集成一体，实现雨量的一体式自动监测，稳定性高。本项目从2021年安装到目前未出现过故障，运维次数少，数据比测精确，得到管理单位的一致好评。</w:t>
            </w:r>
          </w:p>
          <w:p w14:paraId="186F621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典型应用案例2：</w:t>
            </w:r>
          </w:p>
          <w:p w14:paraId="4526F2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云南省中小河流重点洪水易发区水文监测应急建设（一期）工程曲靖分局项目C2标：水文测验仪器设备及安装工程：</w:t>
            </w:r>
          </w:p>
          <w:p w14:paraId="087AB5A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本项目需要提供建设一体式雨量站65套，安装完毕后设备均运行良好，数据精确稳定。本项目所包含站点很多在山区，光照条件差，空气湿度大，安装位置局限，</w:t>
            </w:r>
            <w:r>
              <w:rPr>
                <w:rFonts w:hint="eastAsia" w:ascii="宋体" w:hAnsi="宋体" w:eastAsia="宋体" w:cs="Times New Roman"/>
                <w:kern w:val="0"/>
                <w:sz w:val="24"/>
                <w:szCs w:val="24"/>
                <w:lang w:val="en-US" w:eastAsia="zh-CN" w:bidi="ar-SA"/>
              </w:rPr>
              <w:t>到</w:t>
            </w:r>
            <w:r>
              <w:rPr>
                <w:rFonts w:hint="default" w:ascii="宋体" w:hAnsi="宋体" w:eastAsia="宋体" w:cs="Times New Roman"/>
                <w:kern w:val="0"/>
                <w:sz w:val="24"/>
                <w:szCs w:val="24"/>
                <w:lang w:val="en-US" w:eastAsia="zh-CN" w:bidi="ar-SA"/>
              </w:rPr>
              <w:t>站点路途艰难等特点。根据本项目站点具体情况，选用一体式自动化雨量测量系统，太阳能供电系统、数据采集系统均集成在翻斗式雨量计上，集成程度非常高，空间占用小。对监测站点降水量进行24小时无间断实时自动监测采集、预警、上报，具有实时远程监控、配置功能，微信小程序连接配置，无需下载安装专用软件，具有很高的实用性和适用性，极大方便了测站管理人员的工作。</w:t>
            </w:r>
          </w:p>
        </w:tc>
      </w:tr>
    </w:tbl>
    <w:p w14:paraId="35DF9090">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10" w:name="_Toc10133"/>
      <w:r>
        <w:rPr>
          <w:rFonts w:hint="default" w:ascii="宋体" w:hAnsi="宋体" w:cs="Times New Roman"/>
          <w:sz w:val="28"/>
          <w:szCs w:val="28"/>
          <w:lang w:val="en-US" w:eastAsia="zh-CN"/>
        </w:rPr>
        <w:t>2.6 智流通便携式走航测流系统</w:t>
      </w:r>
      <w:bookmarkEnd w:id="10"/>
    </w:p>
    <w:tbl>
      <w:tblPr>
        <w:tblStyle w:val="28"/>
        <w:tblW w:w="91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20"/>
        <w:gridCol w:w="1642"/>
        <w:gridCol w:w="761"/>
        <w:gridCol w:w="1724"/>
        <w:gridCol w:w="1242"/>
        <w:gridCol w:w="1674"/>
      </w:tblGrid>
      <w:tr w14:paraId="034519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20" w:type="dxa"/>
            <w:tcBorders>
              <w:tl2br w:val="nil"/>
              <w:tr2bl w:val="nil"/>
            </w:tcBorders>
            <w:tcMar>
              <w:top w:w="0" w:type="dxa"/>
              <w:left w:w="108" w:type="dxa"/>
              <w:bottom w:w="0" w:type="dxa"/>
              <w:right w:w="108" w:type="dxa"/>
            </w:tcMar>
            <w:vAlign w:val="center"/>
          </w:tcPr>
          <w:p w14:paraId="2C028AA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043" w:type="dxa"/>
            <w:gridSpan w:val="5"/>
            <w:tcBorders>
              <w:tl2br w:val="nil"/>
              <w:tr2bl w:val="nil"/>
            </w:tcBorders>
            <w:tcMar>
              <w:top w:w="0" w:type="dxa"/>
              <w:left w:w="108" w:type="dxa"/>
              <w:bottom w:w="0" w:type="dxa"/>
              <w:right w:w="108" w:type="dxa"/>
            </w:tcMar>
            <w:vAlign w:val="center"/>
          </w:tcPr>
          <w:p w14:paraId="2BD2C2C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智流通便携式走航测流系统</w:t>
            </w:r>
          </w:p>
        </w:tc>
      </w:tr>
      <w:tr w14:paraId="00FAD7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20" w:type="dxa"/>
            <w:tcBorders>
              <w:tl2br w:val="nil"/>
              <w:tr2bl w:val="nil"/>
            </w:tcBorders>
            <w:tcMar>
              <w:top w:w="0" w:type="dxa"/>
              <w:left w:w="108" w:type="dxa"/>
              <w:bottom w:w="0" w:type="dxa"/>
              <w:right w:w="108" w:type="dxa"/>
            </w:tcMar>
            <w:vAlign w:val="center"/>
          </w:tcPr>
          <w:p w14:paraId="5BAD9E6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043" w:type="dxa"/>
            <w:gridSpan w:val="5"/>
            <w:tcBorders>
              <w:tl2br w:val="nil"/>
              <w:tr2bl w:val="nil"/>
            </w:tcBorders>
            <w:tcMar>
              <w:top w:w="0" w:type="dxa"/>
              <w:left w:w="108" w:type="dxa"/>
              <w:bottom w:w="0" w:type="dxa"/>
              <w:right w:w="108" w:type="dxa"/>
            </w:tcMar>
            <w:vAlign w:val="center"/>
          </w:tcPr>
          <w:p w14:paraId="61C9638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广州和时通电子科技有限公司</w:t>
            </w:r>
          </w:p>
        </w:tc>
      </w:tr>
      <w:tr w14:paraId="3F12F7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812" w:hRule="exact"/>
          <w:jc w:val="center"/>
        </w:trPr>
        <w:tc>
          <w:tcPr>
            <w:tcW w:w="2120" w:type="dxa"/>
            <w:tcBorders>
              <w:tl2br w:val="nil"/>
              <w:tr2bl w:val="nil"/>
            </w:tcBorders>
            <w:tcMar>
              <w:top w:w="0" w:type="dxa"/>
              <w:left w:w="108" w:type="dxa"/>
              <w:bottom w:w="0" w:type="dxa"/>
              <w:right w:w="108" w:type="dxa"/>
            </w:tcMar>
            <w:vAlign w:val="center"/>
          </w:tcPr>
          <w:p w14:paraId="34111F1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4127" w:type="dxa"/>
            <w:gridSpan w:val="3"/>
            <w:tcBorders>
              <w:tl2br w:val="nil"/>
              <w:tr2bl w:val="nil"/>
            </w:tcBorders>
            <w:tcMar>
              <w:top w:w="0" w:type="dxa"/>
              <w:left w:w="108" w:type="dxa"/>
              <w:bottom w:w="0" w:type="dxa"/>
              <w:right w:w="108" w:type="dxa"/>
            </w:tcMar>
            <w:vAlign w:val="center"/>
          </w:tcPr>
          <w:p w14:paraId="506D5CB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广东省广州市番禺区石楼镇创启路63号创智26号楼</w:t>
            </w:r>
          </w:p>
        </w:tc>
        <w:tc>
          <w:tcPr>
            <w:tcW w:w="1242" w:type="dxa"/>
            <w:tcBorders>
              <w:tl2br w:val="nil"/>
              <w:tr2bl w:val="nil"/>
            </w:tcBorders>
            <w:tcMar>
              <w:top w:w="0" w:type="dxa"/>
              <w:left w:w="108" w:type="dxa"/>
              <w:bottom w:w="0" w:type="dxa"/>
              <w:right w:w="108" w:type="dxa"/>
            </w:tcMar>
            <w:vAlign w:val="center"/>
          </w:tcPr>
          <w:p w14:paraId="1A5BB5C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674" w:type="dxa"/>
            <w:tcBorders>
              <w:tl2br w:val="nil"/>
              <w:tr2bl w:val="nil"/>
            </w:tcBorders>
            <w:tcMar>
              <w:top w:w="0" w:type="dxa"/>
              <w:left w:w="108" w:type="dxa"/>
              <w:bottom w:w="0" w:type="dxa"/>
              <w:right w:w="108" w:type="dxa"/>
            </w:tcMar>
            <w:vAlign w:val="center"/>
          </w:tcPr>
          <w:p w14:paraId="7CCE145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510000</w:t>
            </w:r>
          </w:p>
        </w:tc>
      </w:tr>
      <w:tr w14:paraId="6DE79B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20" w:type="dxa"/>
            <w:tcBorders>
              <w:tl2br w:val="nil"/>
              <w:tr2bl w:val="nil"/>
            </w:tcBorders>
            <w:tcMar>
              <w:top w:w="0" w:type="dxa"/>
              <w:left w:w="108" w:type="dxa"/>
              <w:bottom w:w="0" w:type="dxa"/>
              <w:right w:w="108" w:type="dxa"/>
            </w:tcMar>
            <w:vAlign w:val="center"/>
          </w:tcPr>
          <w:p w14:paraId="466480D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642" w:type="dxa"/>
            <w:tcBorders>
              <w:tl2br w:val="nil"/>
              <w:tr2bl w:val="nil"/>
            </w:tcBorders>
            <w:tcMar>
              <w:top w:w="0" w:type="dxa"/>
              <w:left w:w="108" w:type="dxa"/>
              <w:bottom w:w="0" w:type="dxa"/>
              <w:right w:w="108" w:type="dxa"/>
            </w:tcMar>
            <w:vAlign w:val="center"/>
          </w:tcPr>
          <w:p w14:paraId="23D6E14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高洁</w:t>
            </w:r>
          </w:p>
        </w:tc>
        <w:tc>
          <w:tcPr>
            <w:tcW w:w="761" w:type="dxa"/>
            <w:tcBorders>
              <w:tl2br w:val="nil"/>
              <w:tr2bl w:val="nil"/>
            </w:tcBorders>
            <w:tcMar>
              <w:top w:w="0" w:type="dxa"/>
              <w:left w:w="108" w:type="dxa"/>
              <w:bottom w:w="0" w:type="dxa"/>
              <w:right w:w="108" w:type="dxa"/>
            </w:tcMar>
            <w:vAlign w:val="center"/>
          </w:tcPr>
          <w:p w14:paraId="564DEF8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724" w:type="dxa"/>
            <w:tcBorders>
              <w:tl2br w:val="nil"/>
              <w:tr2bl w:val="nil"/>
            </w:tcBorders>
            <w:tcMar>
              <w:top w:w="0" w:type="dxa"/>
              <w:left w:w="108" w:type="dxa"/>
              <w:bottom w:w="0" w:type="dxa"/>
              <w:right w:w="108" w:type="dxa"/>
            </w:tcMar>
            <w:vAlign w:val="center"/>
          </w:tcPr>
          <w:p w14:paraId="75C33D1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总经理</w:t>
            </w:r>
          </w:p>
        </w:tc>
        <w:tc>
          <w:tcPr>
            <w:tcW w:w="1242" w:type="dxa"/>
            <w:tcBorders>
              <w:tl2br w:val="nil"/>
              <w:tr2bl w:val="nil"/>
            </w:tcBorders>
            <w:tcMar>
              <w:top w:w="0" w:type="dxa"/>
              <w:left w:w="108" w:type="dxa"/>
              <w:bottom w:w="0" w:type="dxa"/>
              <w:right w:w="108" w:type="dxa"/>
            </w:tcMar>
            <w:vAlign w:val="center"/>
          </w:tcPr>
          <w:p w14:paraId="5B23E39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1674" w:type="dxa"/>
            <w:tcBorders>
              <w:tl2br w:val="nil"/>
              <w:tr2bl w:val="nil"/>
            </w:tcBorders>
            <w:tcMar>
              <w:top w:w="0" w:type="dxa"/>
              <w:left w:w="108" w:type="dxa"/>
              <w:bottom w:w="0" w:type="dxa"/>
              <w:right w:w="108" w:type="dxa"/>
            </w:tcMar>
            <w:vAlign w:val="center"/>
          </w:tcPr>
          <w:p w14:paraId="6F64E1A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020-82102671</w:t>
            </w:r>
          </w:p>
        </w:tc>
      </w:tr>
      <w:tr w14:paraId="715519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62" w:hRule="exact"/>
          <w:jc w:val="center"/>
        </w:trPr>
        <w:tc>
          <w:tcPr>
            <w:tcW w:w="2120" w:type="dxa"/>
            <w:tcBorders>
              <w:tl2br w:val="nil"/>
              <w:tr2bl w:val="nil"/>
            </w:tcBorders>
            <w:tcMar>
              <w:top w:w="0" w:type="dxa"/>
              <w:left w:w="108" w:type="dxa"/>
              <w:bottom w:w="0" w:type="dxa"/>
              <w:right w:w="108" w:type="dxa"/>
            </w:tcMar>
            <w:vAlign w:val="center"/>
          </w:tcPr>
          <w:p w14:paraId="4086AC1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642" w:type="dxa"/>
            <w:tcBorders>
              <w:tl2br w:val="nil"/>
              <w:tr2bl w:val="nil"/>
            </w:tcBorders>
            <w:tcMar>
              <w:top w:w="0" w:type="dxa"/>
              <w:left w:w="108" w:type="dxa"/>
              <w:bottom w:w="0" w:type="dxa"/>
              <w:right w:w="108" w:type="dxa"/>
            </w:tcMar>
            <w:vAlign w:val="center"/>
          </w:tcPr>
          <w:p w14:paraId="1463DD6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潘海萍</w:t>
            </w:r>
          </w:p>
        </w:tc>
        <w:tc>
          <w:tcPr>
            <w:tcW w:w="761" w:type="dxa"/>
            <w:tcBorders>
              <w:tl2br w:val="nil"/>
              <w:tr2bl w:val="nil"/>
            </w:tcBorders>
            <w:tcMar>
              <w:top w:w="0" w:type="dxa"/>
              <w:left w:w="108" w:type="dxa"/>
              <w:bottom w:w="0" w:type="dxa"/>
              <w:right w:w="108" w:type="dxa"/>
            </w:tcMar>
            <w:vAlign w:val="center"/>
          </w:tcPr>
          <w:p w14:paraId="5BC6E78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724" w:type="dxa"/>
            <w:tcBorders>
              <w:tl2br w:val="nil"/>
              <w:tr2bl w:val="nil"/>
            </w:tcBorders>
            <w:tcMar>
              <w:top w:w="0" w:type="dxa"/>
              <w:left w:w="108" w:type="dxa"/>
              <w:bottom w:w="0" w:type="dxa"/>
              <w:right w:w="108" w:type="dxa"/>
            </w:tcMar>
            <w:vAlign w:val="center"/>
          </w:tcPr>
          <w:p w14:paraId="6809D73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020-82102671</w:t>
            </w:r>
          </w:p>
        </w:tc>
        <w:tc>
          <w:tcPr>
            <w:tcW w:w="1242" w:type="dxa"/>
            <w:tcBorders>
              <w:tl2br w:val="nil"/>
              <w:tr2bl w:val="nil"/>
            </w:tcBorders>
            <w:tcMar>
              <w:top w:w="0" w:type="dxa"/>
              <w:left w:w="108" w:type="dxa"/>
              <w:bottom w:w="0" w:type="dxa"/>
              <w:right w:w="108" w:type="dxa"/>
            </w:tcMar>
            <w:vAlign w:val="center"/>
          </w:tcPr>
          <w:p w14:paraId="5A7BE5C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674" w:type="dxa"/>
            <w:tcBorders>
              <w:tl2br w:val="nil"/>
              <w:tr2bl w:val="nil"/>
            </w:tcBorders>
            <w:tcMar>
              <w:top w:w="0" w:type="dxa"/>
              <w:left w:w="108" w:type="dxa"/>
              <w:bottom w:w="0" w:type="dxa"/>
              <w:right w:w="108" w:type="dxa"/>
            </w:tcMar>
            <w:vAlign w:val="center"/>
          </w:tcPr>
          <w:p w14:paraId="72C7B54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support@hestoon.com</w:t>
            </w:r>
          </w:p>
        </w:tc>
      </w:tr>
      <w:tr w14:paraId="75DA99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20" w:type="dxa"/>
            <w:tcBorders>
              <w:tl2br w:val="nil"/>
              <w:tr2bl w:val="nil"/>
            </w:tcBorders>
            <w:tcMar>
              <w:top w:w="0" w:type="dxa"/>
              <w:left w:w="108" w:type="dxa"/>
              <w:bottom w:w="0" w:type="dxa"/>
              <w:right w:w="108" w:type="dxa"/>
            </w:tcMar>
            <w:vAlign w:val="center"/>
          </w:tcPr>
          <w:p w14:paraId="1319A798">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043" w:type="dxa"/>
            <w:gridSpan w:val="5"/>
            <w:tcBorders>
              <w:tl2br w:val="nil"/>
              <w:tr2bl w:val="nil"/>
            </w:tcBorders>
            <w:tcMar>
              <w:top w:w="0" w:type="dxa"/>
              <w:left w:w="108" w:type="dxa"/>
              <w:bottom w:w="0" w:type="dxa"/>
              <w:right w:w="108" w:type="dxa"/>
            </w:tcMar>
            <w:vAlign w:val="center"/>
          </w:tcPr>
          <w:p w14:paraId="72A306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和时通是一家集海洋、湖库、河流水等地表水自动化监测设备研发、供应、服务于一体的高新技术企业。自公司成立十多年以来，一直专注于为客户量身定制行业解决方案及交钥匙工程，是一家具备研发定制能力、专业系统设计生产能力、完善的售后服务能力的专业技术服务公司。经过10余年的发展，目前公司团队已经扩展到80多人，业务遍布广东省、浙江省、广西壮族自治区、云南省等省份区域，在河流、湖库、海洋等地表水环境中建设了流量系统700余套，海洋湖库浮标水质监测系统110余套，环保水质通量站50余套，为各省份业务部门的数字化智能化发展发挥了重要作用。公司注重提升自身研发实力，成立以来，研发团队发展扩大为20多人，申请专利41项，软著26项目</w:t>
            </w:r>
          </w:p>
        </w:tc>
      </w:tr>
      <w:tr w14:paraId="699849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20" w:type="dxa"/>
            <w:tcBorders>
              <w:tl2br w:val="nil"/>
              <w:tr2bl w:val="nil"/>
            </w:tcBorders>
            <w:tcMar>
              <w:top w:w="0" w:type="dxa"/>
              <w:left w:w="108" w:type="dxa"/>
              <w:bottom w:w="0" w:type="dxa"/>
              <w:right w:w="108" w:type="dxa"/>
            </w:tcMar>
            <w:vAlign w:val="center"/>
          </w:tcPr>
          <w:p w14:paraId="26AA373A">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7043" w:type="dxa"/>
            <w:gridSpan w:val="5"/>
            <w:tcBorders>
              <w:tl2br w:val="nil"/>
              <w:tr2bl w:val="nil"/>
            </w:tcBorders>
            <w:tcMar>
              <w:top w:w="0" w:type="dxa"/>
              <w:left w:w="108" w:type="dxa"/>
              <w:bottom w:w="0" w:type="dxa"/>
              <w:right w:w="108" w:type="dxa"/>
            </w:tcMar>
            <w:vAlign w:val="center"/>
          </w:tcPr>
          <w:p w14:paraId="5A4FADA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技术来源：自主研发</w:t>
            </w:r>
          </w:p>
          <w:p w14:paraId="52CCDC1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智流通为一套便携走航式ADCP流量测量系统，其测量操作及测量成果符合《声学多普勒测验规范》。目前已作为常流量规测验手段应用于各水文站的流量测验和地形测验任务中。智流通以走航式ADCP传感器为核心，配套三体船（遥控船或者无动力船）和数传电台。实时监测计算河流、河口、天然溪流和人工渠道局部流量和总流量，其便利的后处理软件能够直接导出规范的测量成果报表。</w:t>
            </w:r>
          </w:p>
          <w:p w14:paraId="005C451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技术特点：</w:t>
            </w:r>
          </w:p>
          <w:p w14:paraId="00A4B8F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（1）兼容性强：本系统走航ADCP主机以及船体可兼容市面上多种常用型号，没有厂家限制；配套电台为通用性电台，可用于多厂家多型号走航ADCP通讯和控制。</w:t>
            </w:r>
          </w:p>
          <w:p w14:paraId="05D2679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（2）适应场景广泛：系统针对全场景使用集成定制，根据大江大河、中小河流、小溪渠道、湖泊海洋等断面的走航测流应用配套核心传感器及船体，以适应深浅宽窄等多种现场河流条件；</w:t>
            </w:r>
          </w:p>
          <w:p w14:paraId="7AFBF32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（3）便携式测流设计，实现简易、快速测流：系统模块化及折叠设计，单人能够搬运操作，无需专用车辆运输，现场安装步骤简单快速，无需特殊工具，无需复杂的设置，测流简单快捷；</w:t>
            </w:r>
          </w:p>
          <w:p w14:paraId="14156CD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（4）系统配置一套后处理软件系统，能够快速生成符合规范的测验表，无需人工摘录数据；</w:t>
            </w:r>
          </w:p>
          <w:p w14:paraId="26B78C5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（5）多样化的安全设置，保证人员及设备的安全：IP68的防水设计，数传电台等的浮水设计，能够最大程度</w:t>
            </w:r>
            <w:r>
              <w:rPr>
                <w:rFonts w:hint="eastAsia" w:ascii="宋体" w:hAnsi="宋体" w:eastAsia="宋体" w:cs="Times New Roman"/>
                <w:kern w:val="0"/>
                <w:sz w:val="24"/>
                <w:szCs w:val="24"/>
                <w:lang w:val="en-US" w:eastAsia="zh-CN" w:bidi="ar-SA"/>
              </w:rPr>
              <w:t>地保证</w:t>
            </w:r>
            <w:r>
              <w:rPr>
                <w:rFonts w:hint="default" w:ascii="宋体" w:hAnsi="宋体" w:eastAsia="宋体" w:cs="Times New Roman"/>
                <w:kern w:val="0"/>
                <w:sz w:val="24"/>
                <w:szCs w:val="24"/>
                <w:lang w:val="en-US" w:eastAsia="zh-CN" w:bidi="ar-SA"/>
              </w:rPr>
              <w:t>设备的落水安全。</w:t>
            </w:r>
          </w:p>
          <w:p w14:paraId="2A8A332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（6）系统拓展性好：本系统可拓展免费外接</w:t>
            </w:r>
            <w:r>
              <w:rPr>
                <w:rFonts w:hint="eastAsia" w:ascii="宋体" w:hAnsi="宋体" w:eastAsia="宋体" w:cs="Times New Roman"/>
                <w:kern w:val="0"/>
                <w:sz w:val="24"/>
                <w:szCs w:val="24"/>
                <w:lang w:val="en-US" w:eastAsia="zh-CN" w:bidi="ar-SA"/>
              </w:rPr>
              <w:t>其他设备</w:t>
            </w:r>
            <w:r>
              <w:rPr>
                <w:rFonts w:hint="default" w:ascii="宋体" w:hAnsi="宋体" w:eastAsia="宋体" w:cs="Times New Roman"/>
                <w:kern w:val="0"/>
                <w:sz w:val="24"/>
                <w:szCs w:val="24"/>
                <w:lang w:val="en-US" w:eastAsia="zh-CN" w:bidi="ar-SA"/>
              </w:rPr>
              <w:t>，例如GPS罗经，测深仪、盐度计、测沙仪等。其中ADCP和测沙融合成走航测沙系统可直接进行断面输沙率的测验。</w:t>
            </w:r>
          </w:p>
          <w:p w14:paraId="6A2F6B2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（7）续航性能优越：本系统为可充电锂电池，续航时间长，一次充电可用一个月，无需更换电池，极大方便了野外巡测工作。</w:t>
            </w:r>
          </w:p>
          <w:p w14:paraId="120FA55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（8）双模式通讯：具备串口线和蓝牙双重模式通讯，确保在恶劣天气条件下测验人员的安全和通讯的稳定性。</w:t>
            </w:r>
          </w:p>
          <w:p w14:paraId="1CA7C65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技术功能：</w:t>
            </w:r>
          </w:p>
          <w:p w14:paraId="58D6A25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本系统一体式便携设计，适用于各个区域各个行业领域的河流湖库流量要素监测。</w:t>
            </w:r>
          </w:p>
          <w:p w14:paraId="5370736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技术指标：</w:t>
            </w:r>
          </w:p>
          <w:p w14:paraId="7421552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（1）速度范围：默认速度±5m/s，最大速度±20m/s</w:t>
            </w:r>
          </w:p>
          <w:p w14:paraId="4A1358C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（2）测流精度及分辨率：0.25%±2mm/s；分辨率1.0mm/s。</w:t>
            </w:r>
          </w:p>
          <w:p w14:paraId="5C56D64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（3）作业模式：宽带/脉冲相干/相控阵</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智能全自动模式/专家模式。</w:t>
            </w:r>
          </w:p>
          <w:p w14:paraId="13F3AE8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（4）剖面范围：0.12</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100m;</w:t>
            </w:r>
          </w:p>
          <w:p w14:paraId="105DBA0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5</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水深测量范围：0.2m</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120m；</w:t>
            </w:r>
          </w:p>
          <w:p w14:paraId="18F9A49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（6）作业温度：-5℃-45℃；</w:t>
            </w:r>
          </w:p>
          <w:p w14:paraId="2FA0406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（7）工作电压：10.5-18VDC；</w:t>
            </w:r>
          </w:p>
          <w:p w14:paraId="0B067BE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（8）单元个数：默认10~30，最大为200</w:t>
            </w:r>
          </w:p>
          <w:p w14:paraId="6A3673F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（9）能够实现高质量的表层测量：无干扰短量程，改善表层流量计算精度；</w:t>
            </w:r>
          </w:p>
          <w:p w14:paraId="63EBC1C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（10）智能自动控制：自动根据流量的变化调整采样频率，获取更高质量数据；</w:t>
            </w:r>
          </w:p>
        </w:tc>
      </w:tr>
      <w:tr w14:paraId="353260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20" w:type="dxa"/>
            <w:tcBorders>
              <w:tl2br w:val="nil"/>
              <w:tr2bl w:val="nil"/>
            </w:tcBorders>
            <w:tcMar>
              <w:top w:w="0" w:type="dxa"/>
              <w:left w:w="108" w:type="dxa"/>
              <w:bottom w:w="0" w:type="dxa"/>
              <w:right w:w="108" w:type="dxa"/>
            </w:tcMar>
            <w:vAlign w:val="center"/>
          </w:tcPr>
          <w:p w14:paraId="694AF6D9">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7043" w:type="dxa"/>
            <w:gridSpan w:val="5"/>
            <w:tcBorders>
              <w:tl2br w:val="nil"/>
              <w:tr2bl w:val="nil"/>
            </w:tcBorders>
            <w:tcMar>
              <w:top w:w="0" w:type="dxa"/>
              <w:left w:w="108" w:type="dxa"/>
              <w:bottom w:w="0" w:type="dxa"/>
              <w:right w:w="108" w:type="dxa"/>
            </w:tcMar>
            <w:vAlign w:val="center"/>
          </w:tcPr>
          <w:p w14:paraId="628CF46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李旭光</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陈容</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高洁</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林勇全</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谭永鉴</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官辉明</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陈腾利</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莫文运</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常博</w:t>
            </w:r>
            <w:r>
              <w:rPr>
                <w:rFonts w:hint="eastAsia" w:ascii="宋体" w:hAnsi="宋体" w:cs="Times New Roman"/>
                <w:kern w:val="0"/>
                <w:sz w:val="24"/>
                <w:szCs w:val="24"/>
                <w:lang w:val="en-US" w:eastAsia="zh-CN"/>
              </w:rPr>
              <w:t>，</w:t>
            </w:r>
            <w:r>
              <w:rPr>
                <w:rFonts w:hint="default" w:ascii="宋体" w:hAnsi="宋体" w:cs="Times New Roman" w:eastAsiaTheme="minorEastAsia"/>
                <w:kern w:val="0"/>
                <w:sz w:val="24"/>
                <w:szCs w:val="24"/>
                <w:lang w:val="en-US" w:eastAsia="zh-CN"/>
              </w:rPr>
              <w:t>潘海萍</w:t>
            </w:r>
          </w:p>
        </w:tc>
      </w:tr>
      <w:tr w14:paraId="6BBD87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99" w:hRule="atLeast"/>
          <w:jc w:val="center"/>
        </w:trPr>
        <w:tc>
          <w:tcPr>
            <w:tcW w:w="2120" w:type="dxa"/>
            <w:tcBorders>
              <w:tl2br w:val="nil"/>
              <w:tr2bl w:val="nil"/>
            </w:tcBorders>
            <w:tcMar>
              <w:top w:w="0" w:type="dxa"/>
              <w:left w:w="108" w:type="dxa"/>
              <w:bottom w:w="0" w:type="dxa"/>
              <w:right w:w="108" w:type="dxa"/>
            </w:tcMar>
            <w:vAlign w:val="center"/>
          </w:tcPr>
          <w:p w14:paraId="2AE423B7">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043" w:type="dxa"/>
            <w:gridSpan w:val="5"/>
            <w:tcBorders>
              <w:tl2br w:val="nil"/>
              <w:tr2bl w:val="nil"/>
            </w:tcBorders>
            <w:tcMar>
              <w:top w:w="0" w:type="dxa"/>
              <w:left w:w="108" w:type="dxa"/>
              <w:bottom w:w="0" w:type="dxa"/>
              <w:right w:w="108" w:type="dxa"/>
            </w:tcMar>
            <w:vAlign w:val="center"/>
          </w:tcPr>
          <w:p w14:paraId="556EE2B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获得华东水文仪器检测中心检测报告</w:t>
            </w:r>
          </w:p>
          <w:p w14:paraId="453C793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2、中国赛生实验室工业和信息化部电学第五研究所出具检测报告（电台部分）</w:t>
            </w:r>
          </w:p>
          <w:p w14:paraId="2C4DFA9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3、专利证书：无线通讯电台202330543638X</w:t>
            </w:r>
          </w:p>
          <w:p w14:paraId="69E7EAA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4、专利证书：折叠式遥控三体船</w:t>
            </w:r>
          </w:p>
          <w:p w14:paraId="37FFFA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5、专利证书：船（折叠三体船）</w:t>
            </w:r>
          </w:p>
          <w:p w14:paraId="36FEA31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6、专利证书：无线通讯电台2022303382200</w:t>
            </w:r>
          </w:p>
          <w:p w14:paraId="65D2D51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7、专利证书：一种可折叠的三体船</w:t>
            </w:r>
          </w:p>
          <w:p w14:paraId="5128EBC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8、软件著作权证书：和时通流量率定监测软件</w:t>
            </w:r>
          </w:p>
          <w:p w14:paraId="3927FAD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9、软件著作权证书：和时通走航ADCP流量监测后处理软件</w:t>
            </w:r>
          </w:p>
          <w:p w14:paraId="6FEF8CC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10、入选2023年度《全国水利系统招标产品重点采购目录》</w:t>
            </w:r>
          </w:p>
          <w:p w14:paraId="7957C07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cs="Times New Roman" w:eastAsiaTheme="minorEastAsia"/>
                <w:color w:val="0000FF"/>
                <w:spacing w:val="4"/>
                <w:kern w:val="0"/>
                <w:sz w:val="24"/>
                <w:szCs w:val="24"/>
                <w:lang w:val="en-US" w:eastAsia="zh-CN"/>
              </w:rPr>
            </w:pPr>
            <w:r>
              <w:rPr>
                <w:rFonts w:hint="default" w:ascii="宋体" w:hAnsi="宋体" w:eastAsia="宋体" w:cs="Times New Roman"/>
                <w:kern w:val="0"/>
                <w:sz w:val="24"/>
                <w:szCs w:val="24"/>
                <w:lang w:val="en-US" w:eastAsia="zh-CN" w:bidi="ar-SA"/>
              </w:rPr>
              <w:t>11、无线电发射设备型号核准报告及证书</w:t>
            </w:r>
          </w:p>
        </w:tc>
      </w:tr>
      <w:tr w14:paraId="42D04B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20" w:type="dxa"/>
            <w:tcBorders>
              <w:tl2br w:val="nil"/>
              <w:tr2bl w:val="nil"/>
            </w:tcBorders>
            <w:tcMar>
              <w:top w:w="0" w:type="dxa"/>
              <w:left w:w="108" w:type="dxa"/>
              <w:bottom w:w="0" w:type="dxa"/>
              <w:right w:w="108" w:type="dxa"/>
            </w:tcMar>
            <w:vAlign w:val="center"/>
          </w:tcPr>
          <w:p w14:paraId="2BCC3F89">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043" w:type="dxa"/>
            <w:gridSpan w:val="5"/>
            <w:tcBorders>
              <w:tl2br w:val="nil"/>
              <w:tr2bl w:val="nil"/>
            </w:tcBorders>
            <w:tcMar>
              <w:top w:w="0" w:type="dxa"/>
              <w:left w:w="108" w:type="dxa"/>
              <w:bottom w:w="0" w:type="dxa"/>
              <w:right w:w="108" w:type="dxa"/>
            </w:tcMar>
            <w:vAlign w:val="center"/>
          </w:tcPr>
          <w:p w14:paraId="1C1AECE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作为常规流量测验或汛期和洪水的应急流量测量关键设备，适用于河流、湖泊出入口、潮汐性河口断面的</w:t>
            </w:r>
            <w:r>
              <w:rPr>
                <w:rFonts w:hint="eastAsia" w:ascii="宋体" w:hAnsi="宋体" w:eastAsia="宋体" w:cs="Times New Roman"/>
                <w:kern w:val="0"/>
                <w:sz w:val="24"/>
                <w:szCs w:val="24"/>
                <w:lang w:val="en-US" w:eastAsia="zh-CN" w:bidi="ar-SA"/>
              </w:rPr>
              <w:t>探测</w:t>
            </w:r>
            <w:r>
              <w:rPr>
                <w:rFonts w:hint="default" w:ascii="宋体" w:hAnsi="宋体" w:eastAsia="宋体" w:cs="Times New Roman"/>
                <w:kern w:val="0"/>
                <w:sz w:val="24"/>
                <w:szCs w:val="24"/>
                <w:lang w:val="en-US" w:eastAsia="zh-CN" w:bidi="ar-SA"/>
              </w:rPr>
              <w:t>及应急流量的监测，水下地形的测量以及湖流及海流的测验，应用方式包括人力拉测、船拉测、遥控监测等多种手段。</w:t>
            </w:r>
          </w:p>
        </w:tc>
      </w:tr>
      <w:tr w14:paraId="15AB27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20" w:type="dxa"/>
            <w:tcBorders>
              <w:tl2br w:val="nil"/>
              <w:tr2bl w:val="nil"/>
            </w:tcBorders>
            <w:tcMar>
              <w:top w:w="0" w:type="dxa"/>
              <w:left w:w="108" w:type="dxa"/>
              <w:bottom w:w="0" w:type="dxa"/>
              <w:right w:w="108" w:type="dxa"/>
            </w:tcMar>
            <w:vAlign w:val="center"/>
          </w:tcPr>
          <w:p w14:paraId="7BB212DA">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both"/>
              <w:textAlignment w:val="auto"/>
              <w:rPr>
                <w:rFonts w:hint="default" w:ascii="宋体" w:hAnsi="宋体" w:cs="Times New Roman" w:eastAsiaTheme="minorEastAsia"/>
                <w:spacing w:val="4"/>
                <w:kern w:val="0"/>
                <w:sz w:val="24"/>
                <w:szCs w:val="24"/>
              </w:rPr>
            </w:pPr>
            <w:r>
              <w:rPr>
                <w:rFonts w:hint="default" w:ascii="宋体" w:hAnsi="宋体" w:cs="Times New Roman" w:eastAsiaTheme="minorEastAsia"/>
                <w:spacing w:val="4"/>
                <w:kern w:val="0"/>
                <w:sz w:val="24"/>
                <w:szCs w:val="24"/>
              </w:rPr>
              <w:t>应用工程及效益</w:t>
            </w:r>
          </w:p>
        </w:tc>
        <w:tc>
          <w:tcPr>
            <w:tcW w:w="7043" w:type="dxa"/>
            <w:gridSpan w:val="5"/>
            <w:tcBorders>
              <w:tl2br w:val="nil"/>
              <w:tr2bl w:val="nil"/>
            </w:tcBorders>
            <w:tcMar>
              <w:top w:w="0" w:type="dxa"/>
              <w:left w:w="108" w:type="dxa"/>
              <w:bottom w:w="0" w:type="dxa"/>
              <w:right w:w="108" w:type="dxa"/>
            </w:tcMar>
            <w:vAlign w:val="center"/>
          </w:tcPr>
          <w:p w14:paraId="0710070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典型应用案例1：</w:t>
            </w:r>
          </w:p>
          <w:p w14:paraId="3A73BAA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浙广咨【2020】（采）121号台州市水文站超高频侧扫雷达采购项目：</w:t>
            </w:r>
          </w:p>
          <w:p w14:paraId="2B4E2BF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项目在台州市海门水文站安装了一套超高频侧扫雷达测流系统，因此需要在高水对本套设备进行比测率定工作。由于高水期间含沙量大，导致普通走航式ADCP无法正常开展测验。进而应用本套“智流通”测流系统，采用300K走航ADCP搭载GPS罗经和测深仪，应用本系统多通道电台，成功克服了比测断面高水由于水深大、沙量大导致的无法采用走航式ADCP进行测验的难题，</w:t>
            </w:r>
            <w:r>
              <w:rPr>
                <w:rFonts w:hint="eastAsia" w:ascii="宋体" w:hAnsi="宋体" w:eastAsia="宋体" w:cs="Times New Roman"/>
                <w:kern w:val="0"/>
                <w:sz w:val="24"/>
                <w:szCs w:val="24"/>
                <w:lang w:val="en-US" w:eastAsia="zh-CN" w:bidi="ar-SA"/>
              </w:rPr>
              <w:t>极大地</w:t>
            </w:r>
            <w:r>
              <w:rPr>
                <w:rFonts w:hint="default" w:ascii="宋体" w:hAnsi="宋体" w:eastAsia="宋体" w:cs="Times New Roman"/>
                <w:kern w:val="0"/>
                <w:sz w:val="24"/>
                <w:szCs w:val="24"/>
                <w:lang w:val="en-US" w:eastAsia="zh-CN" w:bidi="ar-SA"/>
              </w:rPr>
              <w:t>促进了本站侧扫雷达比测率定进度，同时为本站流量实测增加全新解决方案，得到台州市水文的一致认可和好评。</w:t>
            </w:r>
          </w:p>
          <w:p w14:paraId="2ADEA1E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典型应用案例2：</w:t>
            </w:r>
          </w:p>
          <w:p w14:paraId="31F5E50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2024年珠江流域主要河流同步监测项目</w:t>
            </w:r>
          </w:p>
          <w:p w14:paraId="24584DC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项目针对珠江流域广东省境内主要河流进行大同步测验，涉及断面数量约50个，2024年龙舟水期间连续同时同步开展水位、断面、流量测验工作，设计广东省水文局和各水文分局及珠江委水文局，流量测验大部分采用本测流系统。本系统兼容性强、适应场景广、系统拓展性好、测验精度高，为本次大同步测量提供了重要的测验数据，极大程度解决了多类型、多断面、多水体环境河流的同步测验问题。为后续监测流域洪水预警预报以及防灾减灾提供了重要的数据支撑。</w:t>
            </w:r>
          </w:p>
        </w:tc>
      </w:tr>
    </w:tbl>
    <w:p w14:paraId="55CAFF64">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11" w:name="_Toc24862"/>
      <w:r>
        <w:rPr>
          <w:rFonts w:hint="default" w:ascii="宋体" w:hAnsi="宋体" w:cs="Times New Roman"/>
          <w:sz w:val="28"/>
          <w:szCs w:val="28"/>
          <w:lang w:val="en-US" w:eastAsia="zh-CN"/>
        </w:rPr>
        <w:t>2.</w:t>
      </w:r>
      <w:r>
        <w:rPr>
          <w:rFonts w:hint="eastAsia" w:ascii="宋体" w:hAnsi="宋体" w:cs="Times New Roman"/>
          <w:sz w:val="28"/>
          <w:szCs w:val="28"/>
          <w:lang w:val="en-US" w:eastAsia="zh-CN"/>
        </w:rPr>
        <w:t>7</w:t>
      </w:r>
      <w:r>
        <w:rPr>
          <w:rFonts w:hint="default" w:ascii="宋体" w:hAnsi="宋体" w:cs="Times New Roman"/>
          <w:sz w:val="28"/>
          <w:szCs w:val="28"/>
          <w:lang w:val="en-US" w:eastAsia="zh-CN"/>
        </w:rPr>
        <w:t xml:space="preserve"> 挂载式缆道雷达波测流系统</w:t>
      </w:r>
      <w:bookmarkEnd w:id="11"/>
    </w:p>
    <w:tbl>
      <w:tblPr>
        <w:tblStyle w:val="28"/>
        <w:tblW w:w="934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34"/>
        <w:gridCol w:w="1796"/>
        <w:gridCol w:w="761"/>
        <w:gridCol w:w="1724"/>
        <w:gridCol w:w="1242"/>
        <w:gridCol w:w="1684"/>
      </w:tblGrid>
      <w:tr w14:paraId="28BB85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34" w:type="dxa"/>
            <w:tcBorders>
              <w:tl2br w:val="nil"/>
              <w:tr2bl w:val="nil"/>
            </w:tcBorders>
            <w:tcMar>
              <w:top w:w="0" w:type="dxa"/>
              <w:left w:w="108" w:type="dxa"/>
              <w:bottom w:w="0" w:type="dxa"/>
              <w:right w:w="108" w:type="dxa"/>
            </w:tcMar>
            <w:vAlign w:val="center"/>
          </w:tcPr>
          <w:p w14:paraId="3E29960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207" w:type="dxa"/>
            <w:gridSpan w:val="5"/>
            <w:tcBorders>
              <w:tl2br w:val="nil"/>
              <w:tr2bl w:val="nil"/>
            </w:tcBorders>
            <w:tcMar>
              <w:top w:w="0" w:type="dxa"/>
              <w:left w:w="108" w:type="dxa"/>
              <w:bottom w:w="0" w:type="dxa"/>
              <w:right w:w="108" w:type="dxa"/>
            </w:tcMar>
            <w:vAlign w:val="center"/>
          </w:tcPr>
          <w:p w14:paraId="2E7A214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挂载式缆道雷达波测流系统</w:t>
            </w:r>
          </w:p>
        </w:tc>
      </w:tr>
      <w:tr w14:paraId="191B3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34" w:type="dxa"/>
            <w:tcBorders>
              <w:tl2br w:val="nil"/>
              <w:tr2bl w:val="nil"/>
            </w:tcBorders>
            <w:tcMar>
              <w:top w:w="0" w:type="dxa"/>
              <w:left w:w="108" w:type="dxa"/>
              <w:bottom w:w="0" w:type="dxa"/>
              <w:right w:w="108" w:type="dxa"/>
            </w:tcMar>
            <w:vAlign w:val="center"/>
          </w:tcPr>
          <w:p w14:paraId="13642AE6">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207" w:type="dxa"/>
            <w:gridSpan w:val="5"/>
            <w:tcBorders>
              <w:tl2br w:val="nil"/>
              <w:tr2bl w:val="nil"/>
            </w:tcBorders>
            <w:tcMar>
              <w:top w:w="0" w:type="dxa"/>
              <w:left w:w="108" w:type="dxa"/>
              <w:bottom w:w="0" w:type="dxa"/>
              <w:right w:w="108" w:type="dxa"/>
            </w:tcMar>
            <w:vAlign w:val="center"/>
          </w:tcPr>
          <w:p w14:paraId="6480EA4F">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广州和时通电子科技有限公司</w:t>
            </w:r>
          </w:p>
        </w:tc>
      </w:tr>
      <w:tr w14:paraId="523E79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7" w:hRule="exact"/>
          <w:jc w:val="center"/>
        </w:trPr>
        <w:tc>
          <w:tcPr>
            <w:tcW w:w="2134" w:type="dxa"/>
            <w:tcBorders>
              <w:tl2br w:val="nil"/>
              <w:tr2bl w:val="nil"/>
            </w:tcBorders>
            <w:tcMar>
              <w:top w:w="0" w:type="dxa"/>
              <w:left w:w="108" w:type="dxa"/>
              <w:bottom w:w="0" w:type="dxa"/>
              <w:right w:w="108" w:type="dxa"/>
            </w:tcMar>
            <w:vAlign w:val="center"/>
          </w:tcPr>
          <w:p w14:paraId="36543DB3">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4281" w:type="dxa"/>
            <w:gridSpan w:val="3"/>
            <w:tcBorders>
              <w:tl2br w:val="nil"/>
              <w:tr2bl w:val="nil"/>
            </w:tcBorders>
            <w:tcMar>
              <w:top w:w="0" w:type="dxa"/>
              <w:left w:w="108" w:type="dxa"/>
              <w:bottom w:w="0" w:type="dxa"/>
              <w:right w:w="108" w:type="dxa"/>
            </w:tcMar>
            <w:vAlign w:val="center"/>
          </w:tcPr>
          <w:p w14:paraId="6BE3143C">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广东省广州市番禺区石楼镇创启路63号创智26号楼</w:t>
            </w:r>
          </w:p>
        </w:tc>
        <w:tc>
          <w:tcPr>
            <w:tcW w:w="1242" w:type="dxa"/>
            <w:tcBorders>
              <w:tl2br w:val="nil"/>
              <w:tr2bl w:val="nil"/>
            </w:tcBorders>
            <w:tcMar>
              <w:top w:w="0" w:type="dxa"/>
              <w:left w:w="108" w:type="dxa"/>
              <w:bottom w:w="0" w:type="dxa"/>
              <w:right w:w="108" w:type="dxa"/>
            </w:tcMar>
            <w:vAlign w:val="center"/>
          </w:tcPr>
          <w:p w14:paraId="2D41969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684" w:type="dxa"/>
            <w:tcBorders>
              <w:tl2br w:val="nil"/>
              <w:tr2bl w:val="nil"/>
            </w:tcBorders>
            <w:tcMar>
              <w:top w:w="0" w:type="dxa"/>
              <w:left w:w="108" w:type="dxa"/>
              <w:bottom w:w="0" w:type="dxa"/>
              <w:right w:w="108" w:type="dxa"/>
            </w:tcMar>
            <w:vAlign w:val="center"/>
          </w:tcPr>
          <w:p w14:paraId="12826239">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510000</w:t>
            </w:r>
          </w:p>
        </w:tc>
      </w:tr>
      <w:tr w14:paraId="2AE3D2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34" w:type="dxa"/>
            <w:tcBorders>
              <w:tl2br w:val="nil"/>
              <w:tr2bl w:val="nil"/>
            </w:tcBorders>
            <w:tcMar>
              <w:top w:w="0" w:type="dxa"/>
              <w:left w:w="108" w:type="dxa"/>
              <w:bottom w:w="0" w:type="dxa"/>
              <w:right w:w="108" w:type="dxa"/>
            </w:tcMar>
            <w:vAlign w:val="center"/>
          </w:tcPr>
          <w:p w14:paraId="6F8150BB">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796" w:type="dxa"/>
            <w:tcBorders>
              <w:tl2br w:val="nil"/>
              <w:tr2bl w:val="nil"/>
            </w:tcBorders>
            <w:tcMar>
              <w:top w:w="0" w:type="dxa"/>
              <w:left w:w="108" w:type="dxa"/>
              <w:bottom w:w="0" w:type="dxa"/>
              <w:right w:w="108" w:type="dxa"/>
            </w:tcMar>
            <w:vAlign w:val="center"/>
          </w:tcPr>
          <w:p w14:paraId="65A5BEE0">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高洁</w:t>
            </w:r>
          </w:p>
        </w:tc>
        <w:tc>
          <w:tcPr>
            <w:tcW w:w="761" w:type="dxa"/>
            <w:tcBorders>
              <w:tl2br w:val="nil"/>
              <w:tr2bl w:val="nil"/>
            </w:tcBorders>
            <w:tcMar>
              <w:top w:w="0" w:type="dxa"/>
              <w:left w:w="108" w:type="dxa"/>
              <w:bottom w:w="0" w:type="dxa"/>
              <w:right w:w="108" w:type="dxa"/>
            </w:tcMar>
            <w:vAlign w:val="center"/>
          </w:tcPr>
          <w:p w14:paraId="04C29A0C">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724" w:type="dxa"/>
            <w:tcBorders>
              <w:tl2br w:val="nil"/>
              <w:tr2bl w:val="nil"/>
            </w:tcBorders>
            <w:tcMar>
              <w:top w:w="0" w:type="dxa"/>
              <w:left w:w="108" w:type="dxa"/>
              <w:bottom w:w="0" w:type="dxa"/>
              <w:right w:w="108" w:type="dxa"/>
            </w:tcMar>
            <w:vAlign w:val="center"/>
          </w:tcPr>
          <w:p w14:paraId="1EB18284">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总经理</w:t>
            </w:r>
          </w:p>
        </w:tc>
        <w:tc>
          <w:tcPr>
            <w:tcW w:w="1242" w:type="dxa"/>
            <w:tcBorders>
              <w:tl2br w:val="nil"/>
              <w:tr2bl w:val="nil"/>
            </w:tcBorders>
            <w:tcMar>
              <w:top w:w="0" w:type="dxa"/>
              <w:left w:w="108" w:type="dxa"/>
              <w:bottom w:w="0" w:type="dxa"/>
              <w:right w:w="108" w:type="dxa"/>
            </w:tcMar>
            <w:vAlign w:val="center"/>
          </w:tcPr>
          <w:p w14:paraId="559B8A61">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1684" w:type="dxa"/>
            <w:tcBorders>
              <w:tl2br w:val="nil"/>
              <w:tr2bl w:val="nil"/>
            </w:tcBorders>
            <w:shd w:val="clear" w:color="auto" w:fill="auto"/>
            <w:tcMar>
              <w:top w:w="0" w:type="dxa"/>
              <w:left w:w="108" w:type="dxa"/>
              <w:bottom w:w="0" w:type="dxa"/>
              <w:right w:w="108" w:type="dxa"/>
            </w:tcMar>
            <w:vAlign w:val="center"/>
          </w:tcPr>
          <w:p w14:paraId="0ACFADC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lang w:val="en-US" w:eastAsia="zh-CN" w:bidi="ar-SA"/>
              </w:rPr>
            </w:pPr>
            <w:r>
              <w:rPr>
                <w:rFonts w:hint="default" w:ascii="宋体" w:hAnsi="宋体" w:cs="Times New Roman" w:eastAsiaTheme="minorEastAsia"/>
                <w:kern w:val="0"/>
                <w:sz w:val="24"/>
                <w:szCs w:val="24"/>
              </w:rPr>
              <w:t>020-82102671</w:t>
            </w:r>
          </w:p>
        </w:tc>
      </w:tr>
      <w:tr w14:paraId="13A824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62" w:hRule="exact"/>
          <w:jc w:val="center"/>
        </w:trPr>
        <w:tc>
          <w:tcPr>
            <w:tcW w:w="2134" w:type="dxa"/>
            <w:tcBorders>
              <w:tl2br w:val="nil"/>
              <w:tr2bl w:val="nil"/>
            </w:tcBorders>
            <w:tcMar>
              <w:top w:w="0" w:type="dxa"/>
              <w:left w:w="108" w:type="dxa"/>
              <w:bottom w:w="0" w:type="dxa"/>
              <w:right w:w="108" w:type="dxa"/>
            </w:tcMar>
            <w:vAlign w:val="center"/>
          </w:tcPr>
          <w:p w14:paraId="3DEA7783">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796" w:type="dxa"/>
            <w:tcBorders>
              <w:tl2br w:val="nil"/>
              <w:tr2bl w:val="nil"/>
            </w:tcBorders>
            <w:tcMar>
              <w:top w:w="0" w:type="dxa"/>
              <w:left w:w="108" w:type="dxa"/>
              <w:bottom w:w="0" w:type="dxa"/>
              <w:right w:w="108" w:type="dxa"/>
            </w:tcMar>
            <w:vAlign w:val="center"/>
          </w:tcPr>
          <w:p w14:paraId="52A599E7">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潘海萍</w:t>
            </w:r>
          </w:p>
        </w:tc>
        <w:tc>
          <w:tcPr>
            <w:tcW w:w="761" w:type="dxa"/>
            <w:tcBorders>
              <w:tl2br w:val="nil"/>
              <w:tr2bl w:val="nil"/>
            </w:tcBorders>
            <w:tcMar>
              <w:top w:w="0" w:type="dxa"/>
              <w:left w:w="108" w:type="dxa"/>
              <w:bottom w:w="0" w:type="dxa"/>
              <w:right w:w="108" w:type="dxa"/>
            </w:tcMar>
            <w:vAlign w:val="center"/>
          </w:tcPr>
          <w:p w14:paraId="79EE1DA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724" w:type="dxa"/>
            <w:tcBorders>
              <w:tl2br w:val="nil"/>
              <w:tr2bl w:val="nil"/>
            </w:tcBorders>
            <w:tcMar>
              <w:top w:w="0" w:type="dxa"/>
              <w:left w:w="108" w:type="dxa"/>
              <w:bottom w:w="0" w:type="dxa"/>
              <w:right w:w="108" w:type="dxa"/>
            </w:tcMar>
            <w:vAlign w:val="center"/>
          </w:tcPr>
          <w:p w14:paraId="3DA7AC8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020-82102671</w:t>
            </w:r>
          </w:p>
        </w:tc>
        <w:tc>
          <w:tcPr>
            <w:tcW w:w="1242" w:type="dxa"/>
            <w:tcBorders>
              <w:tl2br w:val="nil"/>
              <w:tr2bl w:val="nil"/>
            </w:tcBorders>
            <w:tcMar>
              <w:top w:w="0" w:type="dxa"/>
              <w:left w:w="108" w:type="dxa"/>
              <w:bottom w:w="0" w:type="dxa"/>
              <w:right w:w="108" w:type="dxa"/>
            </w:tcMar>
            <w:vAlign w:val="center"/>
          </w:tcPr>
          <w:p w14:paraId="27ED7A1D">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684" w:type="dxa"/>
            <w:tcBorders>
              <w:tl2br w:val="nil"/>
              <w:tr2bl w:val="nil"/>
            </w:tcBorders>
            <w:tcMar>
              <w:top w:w="0" w:type="dxa"/>
              <w:left w:w="108" w:type="dxa"/>
              <w:bottom w:w="0" w:type="dxa"/>
              <w:right w:w="108" w:type="dxa"/>
            </w:tcMar>
            <w:vAlign w:val="center"/>
          </w:tcPr>
          <w:p w14:paraId="4049EF88">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support@hestoon.com</w:t>
            </w:r>
          </w:p>
        </w:tc>
      </w:tr>
      <w:tr w14:paraId="754430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34" w:type="dxa"/>
            <w:tcBorders>
              <w:tl2br w:val="nil"/>
              <w:tr2bl w:val="nil"/>
            </w:tcBorders>
            <w:tcMar>
              <w:top w:w="0" w:type="dxa"/>
              <w:left w:w="108" w:type="dxa"/>
              <w:bottom w:w="0" w:type="dxa"/>
              <w:right w:w="108" w:type="dxa"/>
            </w:tcMar>
            <w:vAlign w:val="center"/>
          </w:tcPr>
          <w:p w14:paraId="375ACB0E">
            <w:pPr>
              <w:keepNext w:val="0"/>
              <w:keepLines w:val="0"/>
              <w:pageBreakBefore w:val="0"/>
              <w:widowControl/>
              <w:suppressLineNumbers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207" w:type="dxa"/>
            <w:gridSpan w:val="5"/>
            <w:tcBorders>
              <w:tl2br w:val="nil"/>
              <w:tr2bl w:val="nil"/>
            </w:tcBorders>
            <w:tcMar>
              <w:top w:w="0" w:type="dxa"/>
              <w:left w:w="108" w:type="dxa"/>
              <w:bottom w:w="0" w:type="dxa"/>
              <w:right w:w="108" w:type="dxa"/>
            </w:tcMar>
            <w:vAlign w:val="center"/>
          </w:tcPr>
          <w:p w14:paraId="24496B6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和时通是一家集海洋、湖库、河流水等地表水自动化监测设备研发、供应、服务于一体的高新技术企业。自公司成立十多年以来，一直专注于为客户量身定制行业解决方案及交钥匙工程，是一家具备研发定制能力、专业系统设计生产能力、完善的售后服务能力的专业技术服务公司。经过10余年的发展，目前公司团队已经扩展到80多人，业务遍布广东省、浙江省、广西壮族自治区、云南省等省份区域，在河流、湖库、海洋等地表水环境中建设了流量系统700余套，海洋湖库浮标水质监测系统110余套，环保水质通量站50余套，为各省份业务部门的数字化智能化发展发挥了重要作用。公司注重提升自身研发实力，成立以来，研发团队发展扩大为20多人，申请专利41项，软著26项目</w:t>
            </w:r>
          </w:p>
        </w:tc>
      </w:tr>
      <w:tr w14:paraId="366F36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34" w:type="dxa"/>
            <w:tcBorders>
              <w:tl2br w:val="nil"/>
              <w:tr2bl w:val="nil"/>
            </w:tcBorders>
            <w:tcMar>
              <w:top w:w="0" w:type="dxa"/>
              <w:left w:w="108" w:type="dxa"/>
              <w:bottom w:w="0" w:type="dxa"/>
              <w:right w:w="108" w:type="dxa"/>
            </w:tcMar>
            <w:vAlign w:val="center"/>
          </w:tcPr>
          <w:p w14:paraId="46BEF84B">
            <w:pPr>
              <w:keepNext w:val="0"/>
              <w:keepLines w:val="0"/>
              <w:pageBreakBefore w:val="0"/>
              <w:widowControl/>
              <w:suppressLineNumbers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color w:val="auto"/>
                <w:kern w:val="0"/>
                <w:sz w:val="24"/>
                <w:szCs w:val="24"/>
              </w:rPr>
            </w:pPr>
            <w:r>
              <w:rPr>
                <w:rFonts w:hint="default" w:ascii="宋体" w:hAnsi="宋体" w:cs="Times New Roman" w:eastAsiaTheme="minorEastAsia"/>
                <w:color w:val="auto"/>
                <w:kern w:val="0"/>
                <w:sz w:val="24"/>
                <w:szCs w:val="24"/>
              </w:rPr>
              <w:t>技术（产品）简介</w:t>
            </w:r>
          </w:p>
        </w:tc>
        <w:tc>
          <w:tcPr>
            <w:tcW w:w="7207" w:type="dxa"/>
            <w:gridSpan w:val="5"/>
            <w:tcBorders>
              <w:tl2br w:val="nil"/>
              <w:tr2bl w:val="nil"/>
            </w:tcBorders>
            <w:tcMar>
              <w:top w:w="0" w:type="dxa"/>
              <w:left w:w="108" w:type="dxa"/>
              <w:bottom w:w="0" w:type="dxa"/>
              <w:right w:w="108" w:type="dxa"/>
            </w:tcMar>
            <w:vAlign w:val="center"/>
          </w:tcPr>
          <w:p w14:paraId="48F726B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1、技术来源：自研</w:t>
            </w:r>
          </w:p>
          <w:p w14:paraId="202CA23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2、技术特点、技术功能、指标</w:t>
            </w:r>
          </w:p>
          <w:p w14:paraId="2BBDAE8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HST-MRD是所有者为补充中高水流量测验手段而研发的一款挂载式缆道雷达测流系统。适用于高水洪涝下的流量测验工作，用于替代传统转子流速仪在漂浮物较多、水草较多的情况下无法有效测量的手段。本系统安装便捷、操作简单、应用灵活，配套测控软件，实现流量、平均流速、表面流速、水位、面积、水位流量过程线等数据测量并导出规范计算表和报表。</w:t>
            </w:r>
          </w:p>
          <w:p w14:paraId="58D7F84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本系统具有以下特色：1、双重用法，缆道挂载和便携测验：既可以安装于铅鱼上进行常规测验，亦可替代雷达枪作为应急测量设备。2、配套电台双模连接：雷达配套测流系统电脑端电台可通过串口线</w:t>
            </w:r>
            <w:r>
              <w:rPr>
                <w:rFonts w:hint="eastAsia" w:ascii="宋体" w:hAnsi="宋体" w:eastAsia="宋体" w:cs="Times New Roman"/>
                <w:kern w:val="0"/>
                <w:sz w:val="24"/>
                <w:szCs w:val="24"/>
                <w:lang w:val="en-US" w:eastAsia="zh-CN" w:bidi="ar-SA"/>
              </w:rPr>
              <w:t>抑或</w:t>
            </w:r>
            <w:r>
              <w:rPr>
                <w:rFonts w:hint="default" w:ascii="宋体" w:hAnsi="宋体" w:eastAsia="宋体" w:cs="Times New Roman"/>
                <w:kern w:val="0"/>
                <w:sz w:val="24"/>
                <w:szCs w:val="24"/>
                <w:lang w:val="en-US" w:eastAsia="zh-CN" w:bidi="ar-SA"/>
              </w:rPr>
              <w:t>是蓝牙同电脑建立连接，方便应急测量使用。3、配套软件可对接用户指定平台：网络版测控软件直接对接客户的整编平台和质量控制平台，实现无缝对接和数据交换。</w:t>
            </w:r>
          </w:p>
          <w:p w14:paraId="698B73E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范围</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0.1m/s~20.0m/s；测量高度</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0.5</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130m；测量误差</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±0.02m/s，±1%；工作温湿度：-25℃-60℃</w:t>
            </w:r>
          </w:p>
          <w:p w14:paraId="634FF6C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（300字以内，简要描述技术来源、特点、功能、指标等）</w:t>
            </w:r>
          </w:p>
        </w:tc>
      </w:tr>
      <w:tr w14:paraId="0F34F2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34" w:type="dxa"/>
            <w:tcBorders>
              <w:tl2br w:val="nil"/>
              <w:tr2bl w:val="nil"/>
            </w:tcBorders>
            <w:tcMar>
              <w:top w:w="0" w:type="dxa"/>
              <w:left w:w="108" w:type="dxa"/>
              <w:bottom w:w="0" w:type="dxa"/>
              <w:right w:w="108" w:type="dxa"/>
            </w:tcMar>
            <w:vAlign w:val="center"/>
          </w:tcPr>
          <w:p w14:paraId="781A2ED0">
            <w:pPr>
              <w:keepNext w:val="0"/>
              <w:keepLines w:val="0"/>
              <w:pageBreakBefore w:val="0"/>
              <w:widowControl/>
              <w:suppressLineNumbers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7207" w:type="dxa"/>
            <w:gridSpan w:val="5"/>
            <w:tcBorders>
              <w:tl2br w:val="nil"/>
              <w:tr2bl w:val="nil"/>
            </w:tcBorders>
            <w:tcMar>
              <w:top w:w="0" w:type="dxa"/>
              <w:left w:w="108" w:type="dxa"/>
              <w:bottom w:w="0" w:type="dxa"/>
              <w:right w:w="108" w:type="dxa"/>
            </w:tcMar>
            <w:vAlign w:val="center"/>
          </w:tcPr>
          <w:p w14:paraId="148F106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李旭光</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陈容</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高洁</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林勇全</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谭永鉴</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官辉明</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陈腾利</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莫文运</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常博</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潘海萍</w:t>
            </w:r>
          </w:p>
        </w:tc>
      </w:tr>
      <w:tr w14:paraId="5D0D58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34" w:type="dxa"/>
            <w:tcBorders>
              <w:tl2br w:val="nil"/>
              <w:tr2bl w:val="nil"/>
            </w:tcBorders>
            <w:tcMar>
              <w:top w:w="0" w:type="dxa"/>
              <w:left w:w="108" w:type="dxa"/>
              <w:bottom w:w="0" w:type="dxa"/>
              <w:right w:w="108" w:type="dxa"/>
            </w:tcMar>
            <w:vAlign w:val="center"/>
          </w:tcPr>
          <w:p w14:paraId="37D715EA">
            <w:pPr>
              <w:keepNext w:val="0"/>
              <w:keepLines w:val="0"/>
              <w:pageBreakBefore w:val="0"/>
              <w:widowControl/>
              <w:suppressLineNumbers w:val="0"/>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color w:val="auto"/>
                <w:kern w:val="0"/>
                <w:sz w:val="24"/>
                <w:szCs w:val="24"/>
              </w:rPr>
            </w:pPr>
            <w:r>
              <w:rPr>
                <w:rFonts w:hint="default" w:ascii="宋体" w:hAnsi="宋体" w:cs="Times New Roman" w:eastAsiaTheme="minorEastAsia"/>
                <w:color w:val="auto"/>
                <w:kern w:val="0"/>
                <w:sz w:val="24"/>
                <w:szCs w:val="24"/>
              </w:rPr>
              <w:t>鉴定认证、专利与获奖情况等</w:t>
            </w:r>
          </w:p>
        </w:tc>
        <w:tc>
          <w:tcPr>
            <w:tcW w:w="7207" w:type="dxa"/>
            <w:gridSpan w:val="5"/>
            <w:tcBorders>
              <w:tl2br w:val="nil"/>
              <w:tr2bl w:val="nil"/>
            </w:tcBorders>
            <w:tcMar>
              <w:top w:w="0" w:type="dxa"/>
              <w:left w:w="108" w:type="dxa"/>
              <w:bottom w:w="0" w:type="dxa"/>
              <w:right w:w="108" w:type="dxa"/>
            </w:tcMar>
            <w:vAlign w:val="center"/>
          </w:tcPr>
          <w:p w14:paraId="7DB4D85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1、专利证书：挂载式雷达测流装置</w:t>
            </w:r>
          </w:p>
          <w:p w14:paraId="787FB71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2、软件著作权证书：和时通雷达枪控制APP软件</w:t>
            </w:r>
          </w:p>
          <w:p w14:paraId="42DB872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3、入选2023年度《全国水利系统招标产品重点采购目录》</w:t>
            </w:r>
          </w:p>
        </w:tc>
      </w:tr>
      <w:tr w14:paraId="489A35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34" w:type="dxa"/>
            <w:tcBorders>
              <w:tl2br w:val="nil"/>
              <w:tr2bl w:val="nil"/>
            </w:tcBorders>
            <w:tcMar>
              <w:top w:w="0" w:type="dxa"/>
              <w:left w:w="108" w:type="dxa"/>
              <w:bottom w:w="0" w:type="dxa"/>
              <w:right w:w="108" w:type="dxa"/>
            </w:tcMar>
            <w:vAlign w:val="center"/>
          </w:tcPr>
          <w:p w14:paraId="31946280">
            <w:pPr>
              <w:keepNext w:val="0"/>
              <w:keepLines w:val="0"/>
              <w:pageBreakBefore w:val="0"/>
              <w:widowControl/>
              <w:numPr>
                <w:ilvl w:val="0"/>
                <w:numId w:val="0"/>
              </w:numPr>
              <w:suppressLineNumbers w:val="0"/>
              <w:kinsoku/>
              <w:wordWrap/>
              <w:overflowPunct/>
              <w:topLinePunct w:val="0"/>
              <w:bidi w:val="0"/>
              <w:adjustRightInd w:val="0"/>
              <w:snapToGrid w:val="0"/>
              <w:spacing w:beforeAutospacing="0" w:afterAutospacing="0" w:line="440" w:lineRule="exact"/>
              <w:ind w:left="0" w:leftChars="0" w:right="0" w:firstLine="0" w:firstLineChars="0"/>
              <w:jc w:val="left"/>
              <w:textAlignment w:val="auto"/>
              <w:rPr>
                <w:rFonts w:hint="default" w:ascii="宋体" w:hAnsi="宋体" w:cs="Times New Roman" w:eastAsiaTheme="minorEastAsia"/>
                <w:color w:val="auto"/>
                <w:spacing w:val="4"/>
                <w:kern w:val="0"/>
                <w:sz w:val="24"/>
                <w:szCs w:val="24"/>
                <w:lang w:eastAsia="zh-CN"/>
              </w:rPr>
            </w:pPr>
            <w:r>
              <w:rPr>
                <w:rFonts w:hint="default" w:ascii="宋体" w:hAnsi="宋体" w:cs="Times New Roman" w:eastAsiaTheme="minorEastAsia"/>
                <w:color w:val="auto"/>
                <w:spacing w:val="4"/>
                <w:kern w:val="0"/>
                <w:sz w:val="24"/>
                <w:szCs w:val="24"/>
                <w:lang w:eastAsia="zh-CN"/>
              </w:rPr>
              <w:t>适用范围</w:t>
            </w:r>
          </w:p>
        </w:tc>
        <w:tc>
          <w:tcPr>
            <w:tcW w:w="7207" w:type="dxa"/>
            <w:gridSpan w:val="5"/>
            <w:tcBorders>
              <w:tl2br w:val="nil"/>
              <w:tr2bl w:val="nil"/>
            </w:tcBorders>
            <w:tcMar>
              <w:top w:w="0" w:type="dxa"/>
              <w:left w:w="108" w:type="dxa"/>
              <w:bottom w:w="0" w:type="dxa"/>
              <w:right w:w="108" w:type="dxa"/>
            </w:tcMar>
            <w:vAlign w:val="center"/>
          </w:tcPr>
          <w:p w14:paraId="72B2F36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本系统应用于水文监测、防洪防涝、环保排污监测等领域。主要用于中高水</w:t>
            </w:r>
            <w:r>
              <w:rPr>
                <w:rFonts w:hint="eastAsia" w:ascii="宋体" w:hAnsi="宋体" w:eastAsia="宋体" w:cs="Times New Roman"/>
                <w:kern w:val="0"/>
                <w:sz w:val="24"/>
                <w:szCs w:val="24"/>
                <w:lang w:val="en-US" w:eastAsia="zh-CN" w:bidi="ar-SA"/>
              </w:rPr>
              <w:t>，尤其是</w:t>
            </w:r>
            <w:r>
              <w:rPr>
                <w:rFonts w:hint="default" w:ascii="宋体" w:hAnsi="宋体" w:eastAsia="宋体" w:cs="Times New Roman"/>
                <w:kern w:val="0"/>
                <w:sz w:val="24"/>
                <w:szCs w:val="24"/>
                <w:lang w:val="en-US" w:eastAsia="zh-CN" w:bidi="ar-SA"/>
              </w:rPr>
              <w:t>高洪的流量测验：期间水面流速很大、水面漂浮物较多、水体含沙量大、水草较多断面，</w:t>
            </w:r>
            <w:r>
              <w:rPr>
                <w:rFonts w:hint="eastAsia" w:ascii="宋体" w:hAnsi="宋体" w:eastAsia="宋体" w:cs="Times New Roman"/>
                <w:kern w:val="0"/>
                <w:sz w:val="24"/>
                <w:szCs w:val="24"/>
                <w:lang w:val="en-US" w:eastAsia="zh-CN" w:bidi="ar-SA"/>
              </w:rPr>
              <w:t>其他</w:t>
            </w:r>
            <w:r>
              <w:rPr>
                <w:rFonts w:hint="default" w:ascii="宋体" w:hAnsi="宋体" w:eastAsia="宋体" w:cs="Times New Roman"/>
                <w:kern w:val="0"/>
                <w:sz w:val="24"/>
                <w:szCs w:val="24"/>
                <w:lang w:val="en-US" w:eastAsia="zh-CN" w:bidi="ar-SA"/>
              </w:rPr>
              <w:t>接触式测量的测流设备无法</w:t>
            </w:r>
            <w:r>
              <w:rPr>
                <w:rFonts w:hint="eastAsia" w:ascii="宋体" w:hAnsi="宋体" w:eastAsia="宋体" w:cs="Times New Roman"/>
                <w:kern w:val="0"/>
                <w:sz w:val="24"/>
                <w:szCs w:val="24"/>
                <w:lang w:val="en-US" w:eastAsia="zh-CN" w:bidi="ar-SA"/>
              </w:rPr>
              <w:t>及时</w:t>
            </w:r>
            <w:r>
              <w:rPr>
                <w:rFonts w:hint="default" w:ascii="宋体" w:hAnsi="宋体" w:eastAsia="宋体" w:cs="Times New Roman"/>
                <w:kern w:val="0"/>
                <w:sz w:val="24"/>
                <w:szCs w:val="24"/>
                <w:lang w:val="en-US" w:eastAsia="zh-CN" w:bidi="ar-SA"/>
              </w:rPr>
              <w:t>的流量测验</w:t>
            </w:r>
            <w:r>
              <w:rPr>
                <w:rFonts w:hint="eastAsia" w:ascii="宋体" w:hAnsi="宋体" w:eastAsia="宋体" w:cs="Times New Roman"/>
                <w:kern w:val="0"/>
                <w:sz w:val="24"/>
                <w:szCs w:val="24"/>
                <w:lang w:val="en-US" w:eastAsia="zh-CN" w:bidi="ar-SA"/>
              </w:rPr>
              <w:t>。</w:t>
            </w:r>
          </w:p>
        </w:tc>
      </w:tr>
      <w:tr w14:paraId="21638C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34" w:type="dxa"/>
            <w:tcBorders>
              <w:tl2br w:val="nil"/>
              <w:tr2bl w:val="nil"/>
            </w:tcBorders>
            <w:tcMar>
              <w:top w:w="0" w:type="dxa"/>
              <w:left w:w="108" w:type="dxa"/>
              <w:bottom w:w="0" w:type="dxa"/>
              <w:right w:w="108" w:type="dxa"/>
            </w:tcMar>
            <w:vAlign w:val="center"/>
          </w:tcPr>
          <w:p w14:paraId="4C96D382">
            <w:pPr>
              <w:keepNext w:val="0"/>
              <w:keepLines w:val="0"/>
              <w:pageBreakBefore w:val="0"/>
              <w:widowControl/>
              <w:numPr>
                <w:ilvl w:val="0"/>
                <w:numId w:val="0"/>
              </w:numPr>
              <w:suppressLineNumbers w:val="0"/>
              <w:kinsoku/>
              <w:wordWrap/>
              <w:overflowPunct/>
              <w:topLinePunct w:val="0"/>
              <w:bidi w:val="0"/>
              <w:adjustRightInd w:val="0"/>
              <w:snapToGrid w:val="0"/>
              <w:spacing w:beforeAutospacing="0" w:afterAutospacing="0" w:line="440" w:lineRule="exact"/>
              <w:ind w:left="0" w:leftChars="0" w:right="0" w:firstLine="0" w:firstLineChars="0"/>
              <w:jc w:val="left"/>
              <w:textAlignment w:val="auto"/>
              <w:rPr>
                <w:rFonts w:hint="default" w:ascii="宋体" w:hAnsi="宋体" w:cs="Times New Roman" w:eastAsiaTheme="minorEastAsia"/>
                <w:color w:val="auto"/>
                <w:spacing w:val="4"/>
                <w:kern w:val="0"/>
                <w:sz w:val="24"/>
                <w:szCs w:val="24"/>
                <w:lang w:eastAsia="zh-CN"/>
              </w:rPr>
            </w:pPr>
            <w:r>
              <w:rPr>
                <w:rFonts w:hint="default" w:ascii="宋体" w:hAnsi="宋体" w:cs="Times New Roman" w:eastAsiaTheme="minorEastAsia"/>
                <w:color w:val="auto"/>
                <w:spacing w:val="4"/>
                <w:kern w:val="0"/>
                <w:sz w:val="24"/>
                <w:szCs w:val="24"/>
                <w:lang w:eastAsia="zh-CN"/>
              </w:rPr>
              <w:t>应用工程及效益</w:t>
            </w:r>
          </w:p>
        </w:tc>
        <w:tc>
          <w:tcPr>
            <w:tcW w:w="7207" w:type="dxa"/>
            <w:gridSpan w:val="5"/>
            <w:tcBorders>
              <w:tl2br w:val="nil"/>
              <w:tr2bl w:val="nil"/>
            </w:tcBorders>
            <w:tcMar>
              <w:top w:w="0" w:type="dxa"/>
              <w:left w:w="108" w:type="dxa"/>
              <w:bottom w:w="0" w:type="dxa"/>
              <w:right w:w="108" w:type="dxa"/>
            </w:tcMar>
            <w:vAlign w:val="center"/>
          </w:tcPr>
          <w:p w14:paraId="2CCA534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装备已在江西省/广东省/山东省/贵州省/水利部珠江水利委员会等水文单位得到应用，截至目前，系统运行状况良好，未出现硬件故障及数据异常表现。在高水洪涝下的流量抢测工作，在漂浮物较多、水草较多的情况也能有效流量测验。不存在铅鱼缆道及测控人员或设备等安全风险。</w:t>
            </w:r>
          </w:p>
          <w:p w14:paraId="1FD3507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案例分析</w:t>
            </w:r>
          </w:p>
          <w:p w14:paraId="44EC9A5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2024年4月，广东北江和西江流域发生大洪水，肇庆水文分局四会水文站监测到建站以来实测最高水。大洪水的过境往往导致河道悬移质含沙量陡升，甚至伴随着河底推移质的出现。导致ADCP的超声波无法穿透测验断面水体，严重影响走航ADCP的测验精度。因此采用本套雷达波测流系统，很</w:t>
            </w:r>
            <w:r>
              <w:rPr>
                <w:rFonts w:hint="eastAsia" w:ascii="宋体" w:hAnsi="宋体" w:eastAsia="宋体" w:cs="Times New Roman"/>
                <w:kern w:val="0"/>
                <w:sz w:val="24"/>
                <w:szCs w:val="24"/>
                <w:lang w:val="en-US" w:eastAsia="zh-CN" w:bidi="ar-SA"/>
              </w:rPr>
              <w:t>好地</w:t>
            </w:r>
            <w:r>
              <w:rPr>
                <w:rFonts w:hint="default" w:ascii="宋体" w:hAnsi="宋体" w:eastAsia="宋体" w:cs="Times New Roman"/>
                <w:kern w:val="0"/>
                <w:sz w:val="24"/>
                <w:szCs w:val="24"/>
                <w:lang w:val="en-US" w:eastAsia="zh-CN" w:bidi="ar-SA"/>
              </w:rPr>
              <w:t>测量到最高水的洪峰过程，并在后期比测结果本</w:t>
            </w:r>
            <w:r>
              <w:rPr>
                <w:rFonts w:hint="eastAsia" w:ascii="宋体" w:hAnsi="宋体" w:eastAsia="宋体" w:cs="Times New Roman"/>
                <w:kern w:val="0"/>
                <w:sz w:val="24"/>
                <w:szCs w:val="24"/>
                <w:lang w:val="en-US" w:eastAsia="zh-CN" w:bidi="ar-SA"/>
              </w:rPr>
              <w:t>系统</w:t>
            </w:r>
            <w:r>
              <w:rPr>
                <w:rFonts w:hint="default" w:ascii="宋体" w:hAnsi="宋体" w:eastAsia="宋体" w:cs="Times New Roman"/>
                <w:kern w:val="0"/>
                <w:sz w:val="24"/>
                <w:szCs w:val="24"/>
                <w:lang w:val="en-US" w:eastAsia="zh-CN" w:bidi="ar-SA"/>
              </w:rPr>
              <w:t>实测流量误差控制在5%，完全满足规范要求。对抗灾抢险具有重要意义。</w:t>
            </w:r>
          </w:p>
        </w:tc>
      </w:tr>
    </w:tbl>
    <w:p w14:paraId="573CD4E1">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12" w:name="_Toc4137"/>
      <w:r>
        <w:rPr>
          <w:rFonts w:hint="default" w:ascii="宋体" w:hAnsi="宋体" w:cs="Times New Roman"/>
          <w:sz w:val="28"/>
          <w:szCs w:val="28"/>
          <w:lang w:val="en-US" w:eastAsia="zh-CN"/>
        </w:rPr>
        <w:t>2.</w:t>
      </w:r>
      <w:r>
        <w:rPr>
          <w:rFonts w:hint="eastAsia" w:ascii="宋体" w:hAnsi="宋体" w:cs="Times New Roman"/>
          <w:sz w:val="28"/>
          <w:szCs w:val="28"/>
          <w:lang w:val="en-US" w:eastAsia="zh-CN"/>
        </w:rPr>
        <w:t>8</w:t>
      </w:r>
      <w:r>
        <w:rPr>
          <w:rFonts w:hint="default" w:ascii="宋体" w:hAnsi="宋体" w:cs="Times New Roman"/>
          <w:sz w:val="28"/>
          <w:szCs w:val="28"/>
          <w:lang w:val="en-US" w:eastAsia="zh-CN"/>
        </w:rPr>
        <w:t xml:space="preserve"> 数字站点一体化电源系统</w:t>
      </w:r>
      <w:bookmarkEnd w:id="12"/>
    </w:p>
    <w:tbl>
      <w:tblPr>
        <w:tblStyle w:val="37"/>
        <w:tblW w:w="932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00"/>
        <w:gridCol w:w="1582"/>
        <w:gridCol w:w="1102"/>
        <w:gridCol w:w="1469"/>
        <w:gridCol w:w="1119"/>
        <w:gridCol w:w="1957"/>
      </w:tblGrid>
      <w:tr w14:paraId="759764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00" w:type="dxa"/>
            <w:vAlign w:val="center"/>
          </w:tcPr>
          <w:p w14:paraId="0964CD6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技术（产品）名称</w:t>
            </w:r>
          </w:p>
        </w:tc>
        <w:tc>
          <w:tcPr>
            <w:tcW w:w="7229" w:type="dxa"/>
            <w:gridSpan w:val="5"/>
            <w:vAlign w:val="center"/>
          </w:tcPr>
          <w:p w14:paraId="29A9E23B">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数字站点一体化电源系统</w:t>
            </w:r>
          </w:p>
        </w:tc>
      </w:tr>
      <w:tr w14:paraId="53DE24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exact"/>
          <w:jc w:val="center"/>
        </w:trPr>
        <w:tc>
          <w:tcPr>
            <w:tcW w:w="2100" w:type="dxa"/>
            <w:vAlign w:val="center"/>
          </w:tcPr>
          <w:p w14:paraId="0C351B43">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持有单位</w:t>
            </w:r>
          </w:p>
        </w:tc>
        <w:tc>
          <w:tcPr>
            <w:tcW w:w="7229" w:type="dxa"/>
            <w:gridSpan w:val="5"/>
            <w:vAlign w:val="center"/>
          </w:tcPr>
          <w:p w14:paraId="5A022B82">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晶镁（云南）新能源科技有限责任公司</w:t>
            </w:r>
          </w:p>
          <w:p w14:paraId="54C1BCB6">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云南省水文水资源局</w:t>
            </w:r>
          </w:p>
        </w:tc>
      </w:tr>
      <w:tr w14:paraId="4BC38D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2" w:hRule="exact"/>
          <w:jc w:val="center"/>
        </w:trPr>
        <w:tc>
          <w:tcPr>
            <w:tcW w:w="2100" w:type="dxa"/>
            <w:vAlign w:val="center"/>
          </w:tcPr>
          <w:p w14:paraId="4A0D752A">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单位地址</w:t>
            </w:r>
          </w:p>
        </w:tc>
        <w:tc>
          <w:tcPr>
            <w:tcW w:w="4153" w:type="dxa"/>
            <w:gridSpan w:val="3"/>
            <w:vAlign w:val="center"/>
          </w:tcPr>
          <w:p w14:paraId="3CF3DB05">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bidi="zh-CN"/>
              </w:rPr>
              <w:t>云南省昆明市官渡区大都摩天1栋803室</w:t>
            </w:r>
          </w:p>
        </w:tc>
        <w:tc>
          <w:tcPr>
            <w:tcW w:w="1119" w:type="dxa"/>
            <w:vAlign w:val="center"/>
          </w:tcPr>
          <w:p w14:paraId="0D3F8A53">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w w:val="105"/>
                <w:kern w:val="0"/>
                <w:sz w:val="24"/>
                <w:szCs w:val="24"/>
                <w:lang w:eastAsia="en-US"/>
              </w:rPr>
              <w:t>邮政编码</w:t>
            </w:r>
          </w:p>
        </w:tc>
        <w:tc>
          <w:tcPr>
            <w:tcW w:w="1957" w:type="dxa"/>
            <w:vAlign w:val="center"/>
          </w:tcPr>
          <w:p w14:paraId="30E37C81">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650000</w:t>
            </w:r>
          </w:p>
        </w:tc>
      </w:tr>
      <w:tr w14:paraId="67EF42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2100" w:type="dxa"/>
            <w:vAlign w:val="center"/>
          </w:tcPr>
          <w:p w14:paraId="6DAB0CC6">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法人代表</w:t>
            </w:r>
          </w:p>
        </w:tc>
        <w:tc>
          <w:tcPr>
            <w:tcW w:w="1582" w:type="dxa"/>
            <w:vAlign w:val="center"/>
          </w:tcPr>
          <w:p w14:paraId="02FCC7FE">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刘亮</w:t>
            </w:r>
          </w:p>
        </w:tc>
        <w:tc>
          <w:tcPr>
            <w:tcW w:w="1102" w:type="dxa"/>
            <w:vAlign w:val="center"/>
          </w:tcPr>
          <w:p w14:paraId="021902D8">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职务</w:t>
            </w:r>
          </w:p>
        </w:tc>
        <w:tc>
          <w:tcPr>
            <w:tcW w:w="1469" w:type="dxa"/>
            <w:vAlign w:val="center"/>
          </w:tcPr>
          <w:p w14:paraId="4B8A393C">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总经理</w:t>
            </w:r>
          </w:p>
        </w:tc>
        <w:tc>
          <w:tcPr>
            <w:tcW w:w="1119" w:type="dxa"/>
            <w:vAlign w:val="center"/>
          </w:tcPr>
          <w:p w14:paraId="5DCD6A80">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w w:val="105"/>
                <w:kern w:val="0"/>
                <w:sz w:val="24"/>
                <w:szCs w:val="24"/>
                <w:lang w:eastAsia="en-US"/>
              </w:rPr>
              <w:t>电话</w:t>
            </w:r>
          </w:p>
        </w:tc>
        <w:tc>
          <w:tcPr>
            <w:tcW w:w="1957" w:type="dxa"/>
            <w:vAlign w:val="center"/>
          </w:tcPr>
          <w:p w14:paraId="3E9E98D2">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p>
        </w:tc>
      </w:tr>
      <w:tr w14:paraId="22831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exact"/>
          <w:jc w:val="center"/>
        </w:trPr>
        <w:tc>
          <w:tcPr>
            <w:tcW w:w="2100" w:type="dxa"/>
            <w:vAlign w:val="center"/>
          </w:tcPr>
          <w:p w14:paraId="733ACADB">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联系人</w:t>
            </w:r>
          </w:p>
        </w:tc>
        <w:tc>
          <w:tcPr>
            <w:tcW w:w="1582" w:type="dxa"/>
            <w:vAlign w:val="center"/>
          </w:tcPr>
          <w:p w14:paraId="4D3AB1EC">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刘亮</w:t>
            </w:r>
          </w:p>
        </w:tc>
        <w:tc>
          <w:tcPr>
            <w:tcW w:w="1102" w:type="dxa"/>
            <w:vAlign w:val="center"/>
          </w:tcPr>
          <w:p w14:paraId="130B4780">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w w:val="105"/>
                <w:kern w:val="0"/>
                <w:sz w:val="24"/>
                <w:szCs w:val="24"/>
                <w:lang w:eastAsia="en-US"/>
              </w:rPr>
              <w:t>电话</w:t>
            </w:r>
          </w:p>
        </w:tc>
        <w:tc>
          <w:tcPr>
            <w:tcW w:w="1469" w:type="dxa"/>
            <w:vAlign w:val="center"/>
          </w:tcPr>
          <w:p w14:paraId="1C653431">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p>
        </w:tc>
        <w:tc>
          <w:tcPr>
            <w:tcW w:w="1119" w:type="dxa"/>
            <w:vAlign w:val="center"/>
          </w:tcPr>
          <w:p w14:paraId="48A047AA">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kern w:val="0"/>
                <w:sz w:val="24"/>
                <w:szCs w:val="24"/>
                <w:lang w:eastAsia="en-US"/>
              </w:rPr>
              <w:t>E-mail</w:t>
            </w:r>
          </w:p>
        </w:tc>
        <w:tc>
          <w:tcPr>
            <w:tcW w:w="1957" w:type="dxa"/>
            <w:vAlign w:val="center"/>
          </w:tcPr>
          <w:p w14:paraId="7789388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1057720711@qq.com</w:t>
            </w:r>
          </w:p>
        </w:tc>
      </w:tr>
      <w:tr w14:paraId="7EE08A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4" w:hRule="atLeast"/>
          <w:jc w:val="center"/>
        </w:trPr>
        <w:tc>
          <w:tcPr>
            <w:tcW w:w="2100" w:type="dxa"/>
            <w:vAlign w:val="center"/>
          </w:tcPr>
          <w:p w14:paraId="5B938CE0">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持有单位简介</w:t>
            </w:r>
          </w:p>
        </w:tc>
        <w:tc>
          <w:tcPr>
            <w:tcW w:w="7229" w:type="dxa"/>
            <w:gridSpan w:val="5"/>
            <w:vAlign w:val="center"/>
          </w:tcPr>
          <w:p w14:paraId="298BFAE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晶镁（云南）新能源科技有限责任公司成立于2021年，专业从事光储发电系统开发、设计、生产、施工、调试、运维。在BIPV应用场景、并离网储能应用、光储充系统、移动能源应用、光伏+水利/农业等领域有着丰富的经验。</w:t>
            </w:r>
          </w:p>
          <w:p w14:paraId="461BAF0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云南省水文水资源局为云南省水利厅直属全额拨款事业单位，拥有数千台套专业设备和近500M的长系列水文水资源数据。持有《全国水文水资源调查评价（甲级）证书</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建设项目水资源论证”甲级资质和国家级计量认证合格证。</w:t>
            </w:r>
          </w:p>
        </w:tc>
      </w:tr>
      <w:tr w14:paraId="57EDB3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jc w:val="center"/>
        </w:trPr>
        <w:tc>
          <w:tcPr>
            <w:tcW w:w="2100" w:type="dxa"/>
            <w:vAlign w:val="center"/>
          </w:tcPr>
          <w:p w14:paraId="271FCE2F">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left"/>
              <w:textAlignment w:val="auto"/>
              <w:rPr>
                <w:rFonts w:hint="default" w:ascii="宋体" w:hAnsi="宋体" w:eastAsia="宋体" w:cs="Times New Roman"/>
                <w:b w:val="0"/>
                <w:bCs w:val="0"/>
                <w:kern w:val="0"/>
                <w:sz w:val="24"/>
                <w:szCs w:val="24"/>
                <w:lang w:eastAsia="en-US"/>
              </w:rPr>
            </w:pPr>
          </w:p>
          <w:p w14:paraId="350F8E5A">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技术（产品）简介</w:t>
            </w:r>
          </w:p>
        </w:tc>
        <w:tc>
          <w:tcPr>
            <w:tcW w:w="7229" w:type="dxa"/>
            <w:gridSpan w:val="5"/>
            <w:vAlign w:val="center"/>
          </w:tcPr>
          <w:p w14:paraId="540B555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本产品是由全新的光伏充电模块、先进的一体化锂电电源及智能的BMS系统组成。</w:t>
            </w:r>
          </w:p>
          <w:p w14:paraId="083845C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特点：用MPTT太阳能发电和市电补电两种方式，不间断</w:t>
            </w:r>
            <w:r>
              <w:rPr>
                <w:rFonts w:hint="eastAsia" w:ascii="宋体" w:hAnsi="宋体" w:eastAsia="宋体" w:cs="Times New Roman"/>
                <w:kern w:val="0"/>
                <w:sz w:val="24"/>
                <w:szCs w:val="24"/>
                <w:lang w:val="en-US" w:eastAsia="zh-CN" w:bidi="ar-SA"/>
              </w:rPr>
              <w:t>地</w:t>
            </w:r>
            <w:r>
              <w:rPr>
                <w:rFonts w:hint="default" w:ascii="宋体" w:hAnsi="宋体" w:eastAsia="宋体" w:cs="Times New Roman"/>
                <w:kern w:val="0"/>
                <w:sz w:val="24"/>
                <w:szCs w:val="24"/>
                <w:lang w:val="en-US" w:eastAsia="en-US" w:bidi="ar-SA"/>
              </w:rPr>
              <w:t>提供220V交流电和12V\24V直流电；BMS系统进行实时监控；重量轻，小巧灵活，易维护。</w:t>
            </w:r>
          </w:p>
          <w:p w14:paraId="460CACA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功能：1.多功能显示屏实时监控电源情况；2.智能BMS系统管理、储存、发送电源工况；3.智能电池预热；4.MPPT太阳能充电提升发电效率；5.市电补电；6.交流220V正弦波输出；7.两种直流输出方式，12V和24V;8.模块化拓展电池容量，支持增加100AH/60AH/40AH。</w:t>
            </w:r>
          </w:p>
          <w:p w14:paraId="4AD5525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指标：1.最大太阳能输入功率：300W。2.最大光伏输入电压：18V。3.峰值转换效率：92%。4.标称电压和容量：</w:t>
            </w:r>
            <w:r>
              <w:rPr>
                <w:rFonts w:hint="default" w:ascii="宋体" w:hAnsi="宋体" w:eastAsia="宋体" w:cs="Times New Roman"/>
                <w:kern w:val="0"/>
                <w:sz w:val="24"/>
                <w:szCs w:val="24"/>
                <w:lang w:val="en-US" w:eastAsia="zh-CN" w:bidi="ar-SA"/>
              </w:rPr>
              <w:fldChar w:fldCharType="begin"/>
            </w:r>
            <w:r>
              <w:rPr>
                <w:rFonts w:hint="default" w:ascii="宋体" w:hAnsi="宋体" w:eastAsia="宋体" w:cs="Times New Roman"/>
                <w:kern w:val="0"/>
                <w:sz w:val="24"/>
                <w:szCs w:val="24"/>
                <w:lang w:val="en-US" w:eastAsia="zh-CN" w:bidi="ar-SA"/>
              </w:rPr>
              <w:instrText xml:space="preserve"> HYPERLINK "mailto:12.8V/100Ah@20hr" </w:instrText>
            </w:r>
            <w:r>
              <w:rPr>
                <w:rFonts w:hint="default" w:ascii="宋体" w:hAnsi="宋体" w:eastAsia="宋体" w:cs="Times New Roman"/>
                <w:kern w:val="0"/>
                <w:sz w:val="24"/>
                <w:szCs w:val="24"/>
                <w:lang w:val="en-US" w:eastAsia="zh-CN" w:bidi="ar-SA"/>
              </w:rPr>
              <w:fldChar w:fldCharType="separate"/>
            </w:r>
            <w:r>
              <w:rPr>
                <w:rFonts w:hint="default" w:ascii="宋体" w:hAnsi="宋体" w:eastAsia="宋体" w:cs="Times New Roman"/>
                <w:kern w:val="0"/>
                <w:sz w:val="24"/>
                <w:szCs w:val="24"/>
                <w:lang w:val="en-US" w:eastAsia="en-US" w:bidi="ar-SA"/>
              </w:rPr>
              <w:t>12.8V/100Ah@20hr</w:t>
            </w:r>
            <w:r>
              <w:rPr>
                <w:rFonts w:hint="default" w:ascii="宋体" w:hAnsi="宋体" w:eastAsia="宋体" w:cs="Times New Roman"/>
                <w:kern w:val="0"/>
                <w:sz w:val="24"/>
                <w:szCs w:val="24"/>
                <w:lang w:val="en-US" w:eastAsia="en-US" w:bidi="ar-SA"/>
              </w:rPr>
              <w:fldChar w:fldCharType="end"/>
            </w:r>
            <w:r>
              <w:rPr>
                <w:rFonts w:hint="default" w:ascii="宋体" w:hAnsi="宋体" w:eastAsia="宋体" w:cs="Times New Roman"/>
                <w:kern w:val="0"/>
                <w:sz w:val="24"/>
                <w:szCs w:val="24"/>
                <w:lang w:val="en-US" w:eastAsia="en-US" w:bidi="ar-SA"/>
              </w:rPr>
              <w:t>。5.最大充放电电流：20A。6.循环寿命：3000@80%DOD。7.通信端口：RS485、Modbus。8.输出端口：2个5A/12VDC，1个5A/24VDC，2个300W/22VAC五孔插座。</w:t>
            </w:r>
          </w:p>
        </w:tc>
      </w:tr>
      <w:tr w14:paraId="088FFD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4" w:hRule="atLeast"/>
          <w:jc w:val="center"/>
        </w:trPr>
        <w:tc>
          <w:tcPr>
            <w:tcW w:w="2100" w:type="dxa"/>
            <w:vAlign w:val="center"/>
          </w:tcPr>
          <w:p w14:paraId="56D107C8">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主要完成人</w:t>
            </w:r>
          </w:p>
        </w:tc>
        <w:tc>
          <w:tcPr>
            <w:tcW w:w="7229" w:type="dxa"/>
            <w:gridSpan w:val="5"/>
            <w:vAlign w:val="center"/>
          </w:tcPr>
          <w:p w14:paraId="085AC39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刘亮、朱文祥、何建勋、张坤、杨文春、李学奎、胡喻栾、张朝富、董超、何昊伦、姜露</w:t>
            </w:r>
          </w:p>
        </w:tc>
      </w:tr>
      <w:tr w14:paraId="1E559C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3" w:hRule="atLeast"/>
          <w:jc w:val="center"/>
        </w:trPr>
        <w:tc>
          <w:tcPr>
            <w:tcW w:w="2100" w:type="dxa"/>
            <w:vAlign w:val="center"/>
          </w:tcPr>
          <w:p w14:paraId="4B9CA96D">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鉴定认证、专利与</w:t>
            </w:r>
          </w:p>
          <w:p w14:paraId="2F758657">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left"/>
              <w:textAlignment w:val="auto"/>
              <w:rPr>
                <w:rFonts w:hint="default" w:ascii="宋体" w:hAnsi="宋体" w:eastAsia="宋体" w:cs="Times New Roman"/>
                <w:b w:val="0"/>
                <w:bCs w:val="0"/>
                <w:kern w:val="0"/>
                <w:sz w:val="24"/>
                <w:szCs w:val="24"/>
                <w:lang w:eastAsia="en-US"/>
              </w:rPr>
            </w:pPr>
          </w:p>
          <w:p w14:paraId="60D6B35D">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w w:val="105"/>
                <w:kern w:val="0"/>
                <w:sz w:val="24"/>
                <w:szCs w:val="24"/>
                <w:lang w:eastAsia="en-US"/>
              </w:rPr>
              <w:t>获奖情况等</w:t>
            </w:r>
          </w:p>
        </w:tc>
        <w:tc>
          <w:tcPr>
            <w:tcW w:w="7229" w:type="dxa"/>
            <w:gridSpan w:val="5"/>
            <w:vAlign w:val="center"/>
          </w:tcPr>
          <w:p w14:paraId="11788AF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目前已开发具有核心技术和自主知识产权的产品有：</w:t>
            </w:r>
          </w:p>
          <w:p w14:paraId="6523F0B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1、一种光伏控制器；2、一种电气设备修理用举升台；3、一种便于清洗的光伏板；4、一种光伏发电线缆支固座；5、一种输电线防缠绕装置；6、一种太阳能光伏板安装架；7、一种光伏器件销售用展示架。以上产品已在多个行业不同的领域得到广泛应用，拥有多项产品专利。详细内容参见附件1。</w:t>
            </w:r>
          </w:p>
        </w:tc>
      </w:tr>
      <w:tr w14:paraId="50C3E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8" w:hRule="atLeast"/>
          <w:jc w:val="center"/>
        </w:trPr>
        <w:tc>
          <w:tcPr>
            <w:tcW w:w="2100" w:type="dxa"/>
            <w:vAlign w:val="center"/>
          </w:tcPr>
          <w:p w14:paraId="2DBA1705">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适用范围</w:t>
            </w:r>
          </w:p>
        </w:tc>
        <w:tc>
          <w:tcPr>
            <w:tcW w:w="7229" w:type="dxa"/>
            <w:gridSpan w:val="5"/>
            <w:vAlign w:val="center"/>
          </w:tcPr>
          <w:p w14:paraId="53B9450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本产品适用于为水利、环保、应急、农业等行业进行全天</w:t>
            </w:r>
            <w:r>
              <w:rPr>
                <w:rFonts w:hint="eastAsia" w:ascii="宋体" w:hAnsi="宋体" w:eastAsia="宋体" w:cs="Times New Roman"/>
                <w:kern w:val="0"/>
                <w:sz w:val="24"/>
                <w:szCs w:val="24"/>
                <w:lang w:val="en-US" w:eastAsia="zh-CN" w:bidi="ar-SA"/>
              </w:rPr>
              <w:t>候</w:t>
            </w:r>
            <w:r>
              <w:rPr>
                <w:rFonts w:hint="default" w:ascii="宋体" w:hAnsi="宋体" w:eastAsia="宋体" w:cs="Times New Roman"/>
                <w:kern w:val="0"/>
                <w:sz w:val="24"/>
                <w:szCs w:val="24"/>
                <w:lang w:val="en-US" w:eastAsia="en-US" w:bidi="ar-SA"/>
              </w:rPr>
              <w:t>不间断储能和供电。本产品面向江河、湖泊、水库、水电站、灌区、输水工程、取用水工程、水功能区及行政边界控制断面等各类水文监测系统和水资源监测</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控</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系统的储能和供电。该系统部署方式灵活，可部署在室内和室外，而且可固定和可移动。</w:t>
            </w:r>
          </w:p>
        </w:tc>
      </w:tr>
      <w:tr w14:paraId="7D919C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4" w:hRule="atLeast"/>
          <w:jc w:val="center"/>
        </w:trPr>
        <w:tc>
          <w:tcPr>
            <w:tcW w:w="2100" w:type="dxa"/>
            <w:vAlign w:val="center"/>
          </w:tcPr>
          <w:p w14:paraId="7F55565B">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left"/>
              <w:textAlignment w:val="auto"/>
              <w:rPr>
                <w:rFonts w:hint="default" w:ascii="宋体" w:hAnsi="宋体" w:eastAsia="宋体" w:cs="Times New Roman"/>
                <w:b w:val="0"/>
                <w:bCs w:val="0"/>
                <w:kern w:val="0"/>
                <w:sz w:val="24"/>
                <w:szCs w:val="24"/>
                <w:lang w:eastAsia="en-US"/>
              </w:rPr>
            </w:pPr>
          </w:p>
          <w:p w14:paraId="04B5A282">
            <w:pPr>
              <w:pageBreakBefore w:val="0"/>
              <w:kinsoku/>
              <w:wordWrap/>
              <w:overflowPunct/>
              <w:topLinePunct w:val="0"/>
              <w:autoSpaceDE w:val="0"/>
              <w:autoSpaceDN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b w:val="0"/>
                <w:bCs w:val="0"/>
                <w:kern w:val="0"/>
                <w:sz w:val="24"/>
                <w:szCs w:val="24"/>
                <w:lang w:eastAsia="en-US"/>
              </w:rPr>
            </w:pPr>
            <w:r>
              <w:rPr>
                <w:rFonts w:hint="default" w:ascii="宋体" w:hAnsi="宋体" w:eastAsia="宋体" w:cs="Times New Roman"/>
                <w:b w:val="0"/>
                <w:bCs w:val="0"/>
                <w:color w:val="1A1A1A"/>
                <w:kern w:val="0"/>
                <w:sz w:val="24"/>
                <w:szCs w:val="24"/>
                <w:lang w:eastAsia="en-US"/>
              </w:rPr>
              <w:t>应用工程及效益</w:t>
            </w:r>
          </w:p>
        </w:tc>
        <w:tc>
          <w:tcPr>
            <w:tcW w:w="7229" w:type="dxa"/>
            <w:gridSpan w:val="5"/>
            <w:vAlign w:val="center"/>
          </w:tcPr>
          <w:p w14:paraId="58BBDA0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数字站点一体化电源系统产品已在云南省水文水资源局玉溪分局峨山水文站、楚雄分局西观桥水文站投入使用。</w:t>
            </w:r>
          </w:p>
          <w:p w14:paraId="73BC014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该系统在峨山水文站、西关桥水文站投入使用后，发挥了重要作用。该系统由全新光伏充电模块、先进的一体化锂电电源及智能的BMS系统组成，</w:t>
            </w:r>
            <w:r>
              <w:rPr>
                <w:rFonts w:hint="eastAsia" w:ascii="宋体" w:hAnsi="宋体" w:eastAsia="宋体" w:cs="Times New Roman"/>
                <w:kern w:val="0"/>
                <w:sz w:val="24"/>
                <w:szCs w:val="24"/>
                <w:lang w:val="en-US" w:eastAsia="zh-CN" w:bidi="ar-SA"/>
              </w:rPr>
              <w:t>采用</w:t>
            </w:r>
            <w:r>
              <w:rPr>
                <w:rFonts w:hint="default" w:ascii="宋体" w:hAnsi="宋体" w:eastAsia="宋体" w:cs="Times New Roman"/>
                <w:kern w:val="0"/>
                <w:sz w:val="24"/>
                <w:szCs w:val="24"/>
                <w:lang w:val="en-US" w:eastAsia="en-US" w:bidi="ar-SA"/>
              </w:rPr>
              <w:t>MPTT太阳能高效发电和市电补电两种方式进行储能，采用多类输出接口</w:t>
            </w:r>
            <w:r>
              <w:rPr>
                <w:rFonts w:hint="eastAsia" w:ascii="宋体" w:hAnsi="宋体" w:eastAsia="宋体" w:cs="Times New Roman"/>
                <w:kern w:val="0"/>
                <w:sz w:val="24"/>
                <w:szCs w:val="24"/>
                <w:lang w:val="en-US" w:eastAsia="zh-CN" w:bidi="ar-SA"/>
              </w:rPr>
              <w:t>不间断地</w:t>
            </w:r>
            <w:r>
              <w:rPr>
                <w:rFonts w:hint="default" w:ascii="宋体" w:hAnsi="宋体" w:eastAsia="宋体" w:cs="Times New Roman"/>
                <w:kern w:val="0"/>
                <w:sz w:val="24"/>
                <w:szCs w:val="24"/>
                <w:lang w:val="en-US" w:eastAsia="en-US" w:bidi="ar-SA"/>
              </w:rPr>
              <w:t>提供200V交流电和12V\24V直流电，为各类水文监测设备、监控设备提供电源，为水文数据的采集提供了稳定可靠的电源保障。</w:t>
            </w:r>
          </w:p>
        </w:tc>
      </w:tr>
    </w:tbl>
    <w:p w14:paraId="73611845">
      <w:pPr>
        <w:rPr>
          <w:rFonts w:hint="default" w:ascii="宋体" w:hAnsi="宋体" w:cs="Times New Roman"/>
          <w:lang w:val="en-US" w:eastAsia="zh-CN"/>
        </w:rPr>
      </w:pPr>
    </w:p>
    <w:p w14:paraId="57F83A69">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13" w:name="_Toc10758"/>
      <w:r>
        <w:rPr>
          <w:rFonts w:hint="default" w:ascii="宋体" w:hAnsi="宋体" w:cs="Times New Roman"/>
          <w:sz w:val="28"/>
          <w:szCs w:val="28"/>
          <w:lang w:val="en-US" w:eastAsia="zh-CN"/>
        </w:rPr>
        <w:t>2.</w:t>
      </w:r>
      <w:r>
        <w:rPr>
          <w:rFonts w:hint="eastAsia" w:ascii="宋体" w:hAnsi="宋体" w:cs="Times New Roman"/>
          <w:sz w:val="28"/>
          <w:szCs w:val="28"/>
          <w:lang w:val="en-US" w:eastAsia="zh-CN"/>
        </w:rPr>
        <w:t>9</w:t>
      </w:r>
      <w:r>
        <w:rPr>
          <w:rFonts w:hint="default" w:ascii="宋体" w:hAnsi="宋体" w:cs="Times New Roman"/>
          <w:sz w:val="28"/>
          <w:szCs w:val="28"/>
          <w:lang w:val="en-US" w:eastAsia="zh-CN"/>
        </w:rPr>
        <w:t xml:space="preserve"> 一种柱状底泥手动切割装置</w:t>
      </w:r>
      <w:bookmarkEnd w:id="13"/>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031"/>
        <w:gridCol w:w="1065"/>
        <w:gridCol w:w="1769"/>
        <w:gridCol w:w="1186"/>
        <w:gridCol w:w="1729"/>
      </w:tblGrid>
      <w:tr w14:paraId="1F1D01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99" w:type="dxa"/>
            <w:tcBorders>
              <w:tl2br w:val="nil"/>
              <w:tr2bl w:val="nil"/>
            </w:tcBorders>
            <w:tcMar>
              <w:top w:w="0" w:type="dxa"/>
              <w:left w:w="108" w:type="dxa"/>
              <w:bottom w:w="0" w:type="dxa"/>
              <w:right w:w="108" w:type="dxa"/>
            </w:tcMar>
            <w:vAlign w:val="center"/>
          </w:tcPr>
          <w:p w14:paraId="259E6646">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技术（产品）名称</w:t>
            </w:r>
          </w:p>
        </w:tc>
        <w:tc>
          <w:tcPr>
            <w:tcW w:w="6780" w:type="dxa"/>
            <w:gridSpan w:val="5"/>
            <w:tcBorders>
              <w:tl2br w:val="nil"/>
              <w:tr2bl w:val="nil"/>
            </w:tcBorders>
            <w:tcMar>
              <w:top w:w="0" w:type="dxa"/>
              <w:left w:w="108" w:type="dxa"/>
              <w:bottom w:w="0" w:type="dxa"/>
              <w:right w:w="108" w:type="dxa"/>
            </w:tcMar>
            <w:vAlign w:val="center"/>
          </w:tcPr>
          <w:p w14:paraId="444F8B5F">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一种柱状底泥手动切割装置</w:t>
            </w:r>
          </w:p>
        </w:tc>
      </w:tr>
      <w:tr w14:paraId="712B13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99" w:type="dxa"/>
            <w:tcBorders>
              <w:tl2br w:val="nil"/>
              <w:tr2bl w:val="nil"/>
            </w:tcBorders>
            <w:tcMar>
              <w:top w:w="0" w:type="dxa"/>
              <w:left w:w="108" w:type="dxa"/>
              <w:bottom w:w="0" w:type="dxa"/>
              <w:right w:w="108" w:type="dxa"/>
            </w:tcMar>
            <w:vAlign w:val="center"/>
          </w:tcPr>
          <w:p w14:paraId="01E9CF20">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持有单位</w:t>
            </w:r>
          </w:p>
        </w:tc>
        <w:tc>
          <w:tcPr>
            <w:tcW w:w="6780" w:type="dxa"/>
            <w:gridSpan w:val="5"/>
            <w:tcBorders>
              <w:tl2br w:val="nil"/>
              <w:tr2bl w:val="nil"/>
            </w:tcBorders>
            <w:tcMar>
              <w:top w:w="0" w:type="dxa"/>
              <w:left w:w="108" w:type="dxa"/>
              <w:bottom w:w="0" w:type="dxa"/>
              <w:right w:w="108" w:type="dxa"/>
            </w:tcMar>
            <w:vAlign w:val="center"/>
          </w:tcPr>
          <w:p w14:paraId="6DC94C3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昆明市生态环境科学研究院</w:t>
            </w:r>
          </w:p>
        </w:tc>
      </w:tr>
      <w:tr w14:paraId="5A1FF8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99" w:type="dxa"/>
            <w:tcBorders>
              <w:tl2br w:val="nil"/>
              <w:tr2bl w:val="nil"/>
            </w:tcBorders>
            <w:tcMar>
              <w:top w:w="0" w:type="dxa"/>
              <w:left w:w="108" w:type="dxa"/>
              <w:bottom w:w="0" w:type="dxa"/>
              <w:right w:w="108" w:type="dxa"/>
            </w:tcMar>
            <w:vAlign w:val="center"/>
          </w:tcPr>
          <w:p w14:paraId="4B4F4402">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单位地址</w:t>
            </w:r>
          </w:p>
        </w:tc>
        <w:tc>
          <w:tcPr>
            <w:tcW w:w="3865" w:type="dxa"/>
            <w:gridSpan w:val="3"/>
            <w:tcBorders>
              <w:tl2br w:val="nil"/>
              <w:tr2bl w:val="nil"/>
            </w:tcBorders>
            <w:tcMar>
              <w:top w:w="0" w:type="dxa"/>
              <w:left w:w="108" w:type="dxa"/>
              <w:bottom w:w="0" w:type="dxa"/>
              <w:right w:w="108" w:type="dxa"/>
            </w:tcMar>
            <w:vAlign w:val="center"/>
          </w:tcPr>
          <w:p w14:paraId="6CB2DBBE">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云南省昆明市五华区新闻南路</w:t>
            </w:r>
            <w:r>
              <w:rPr>
                <w:rFonts w:hint="default" w:ascii="宋体" w:hAnsi="宋体" w:eastAsia="宋体" w:cs="Times New Roman"/>
                <w:kern w:val="0"/>
                <w:sz w:val="24"/>
                <w:szCs w:val="24"/>
                <w:lang w:val="en-US" w:eastAsia="zh-CN"/>
              </w:rPr>
              <w:t>23</w:t>
            </w:r>
            <w:r>
              <w:rPr>
                <w:rFonts w:hint="default" w:ascii="宋体" w:hAnsi="宋体" w:eastAsia="宋体" w:cs="Times New Roman"/>
                <w:kern w:val="0"/>
                <w:sz w:val="24"/>
                <w:szCs w:val="24"/>
                <w:lang w:eastAsia="en-US"/>
              </w:rPr>
              <w:t>号</w:t>
            </w:r>
          </w:p>
        </w:tc>
        <w:tc>
          <w:tcPr>
            <w:tcW w:w="1186" w:type="dxa"/>
            <w:tcBorders>
              <w:tl2br w:val="nil"/>
              <w:tr2bl w:val="nil"/>
            </w:tcBorders>
            <w:tcMar>
              <w:top w:w="0" w:type="dxa"/>
              <w:left w:w="108" w:type="dxa"/>
              <w:bottom w:w="0" w:type="dxa"/>
              <w:right w:w="108" w:type="dxa"/>
            </w:tcMar>
            <w:vAlign w:val="center"/>
          </w:tcPr>
          <w:p w14:paraId="4705A46D">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邮政编码</w:t>
            </w:r>
          </w:p>
        </w:tc>
        <w:tc>
          <w:tcPr>
            <w:tcW w:w="1729" w:type="dxa"/>
            <w:tcBorders>
              <w:tl2br w:val="nil"/>
              <w:tr2bl w:val="nil"/>
            </w:tcBorders>
            <w:tcMar>
              <w:top w:w="0" w:type="dxa"/>
              <w:left w:w="108" w:type="dxa"/>
              <w:bottom w:w="0" w:type="dxa"/>
              <w:right w:w="108" w:type="dxa"/>
            </w:tcMar>
            <w:vAlign w:val="center"/>
          </w:tcPr>
          <w:p w14:paraId="4A4BA675">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val="en-US" w:eastAsia="zh-CN"/>
              </w:rPr>
            </w:pPr>
            <w:r>
              <w:rPr>
                <w:rFonts w:hint="default" w:ascii="宋体" w:hAnsi="宋体" w:eastAsia="宋体" w:cs="Times New Roman"/>
                <w:kern w:val="0"/>
                <w:sz w:val="24"/>
                <w:szCs w:val="24"/>
                <w:lang w:val="en-US" w:eastAsia="zh-CN"/>
              </w:rPr>
              <w:t>650032</w:t>
            </w:r>
          </w:p>
        </w:tc>
      </w:tr>
      <w:tr w14:paraId="00CAAA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99" w:type="dxa"/>
            <w:tcBorders>
              <w:tl2br w:val="nil"/>
              <w:tr2bl w:val="nil"/>
            </w:tcBorders>
            <w:tcMar>
              <w:top w:w="0" w:type="dxa"/>
              <w:left w:w="108" w:type="dxa"/>
              <w:bottom w:w="0" w:type="dxa"/>
              <w:right w:w="108" w:type="dxa"/>
            </w:tcMar>
            <w:vAlign w:val="center"/>
          </w:tcPr>
          <w:p w14:paraId="540EA23B">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zh-CN"/>
              </w:rPr>
              <w:t>法人代表</w:t>
            </w:r>
          </w:p>
        </w:tc>
        <w:tc>
          <w:tcPr>
            <w:tcW w:w="1031" w:type="dxa"/>
            <w:tcBorders>
              <w:tl2br w:val="nil"/>
              <w:tr2bl w:val="nil"/>
            </w:tcBorders>
            <w:tcMar>
              <w:top w:w="0" w:type="dxa"/>
              <w:left w:w="108" w:type="dxa"/>
              <w:bottom w:w="0" w:type="dxa"/>
              <w:right w:w="108" w:type="dxa"/>
            </w:tcMar>
            <w:vAlign w:val="center"/>
          </w:tcPr>
          <w:p w14:paraId="1A20FAA0">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val="en-US" w:eastAsia="zh-CN"/>
              </w:rPr>
            </w:pPr>
            <w:r>
              <w:rPr>
                <w:rFonts w:hint="default" w:ascii="宋体" w:hAnsi="宋体" w:eastAsia="宋体" w:cs="Times New Roman"/>
                <w:kern w:val="0"/>
                <w:sz w:val="24"/>
                <w:szCs w:val="24"/>
                <w:lang w:val="en-US" w:eastAsia="zh-CN"/>
              </w:rPr>
              <w:t>支国强</w:t>
            </w:r>
          </w:p>
        </w:tc>
        <w:tc>
          <w:tcPr>
            <w:tcW w:w="1065" w:type="dxa"/>
            <w:tcBorders>
              <w:tl2br w:val="nil"/>
              <w:tr2bl w:val="nil"/>
            </w:tcBorders>
            <w:tcMar>
              <w:top w:w="0" w:type="dxa"/>
              <w:left w:w="108" w:type="dxa"/>
              <w:bottom w:w="0" w:type="dxa"/>
              <w:right w:w="108" w:type="dxa"/>
            </w:tcMar>
            <w:vAlign w:val="center"/>
          </w:tcPr>
          <w:p w14:paraId="5197FB1D">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zh-CN"/>
              </w:rPr>
            </w:pPr>
            <w:r>
              <w:rPr>
                <w:rFonts w:hint="default" w:ascii="宋体" w:hAnsi="宋体" w:eastAsia="宋体" w:cs="Times New Roman"/>
                <w:kern w:val="0"/>
                <w:sz w:val="24"/>
                <w:szCs w:val="24"/>
                <w:lang w:eastAsia="zh-CN"/>
              </w:rPr>
              <w:t>职务</w:t>
            </w:r>
          </w:p>
        </w:tc>
        <w:tc>
          <w:tcPr>
            <w:tcW w:w="1769" w:type="dxa"/>
            <w:tcBorders>
              <w:tl2br w:val="nil"/>
              <w:tr2bl w:val="nil"/>
            </w:tcBorders>
            <w:tcMar>
              <w:top w:w="0" w:type="dxa"/>
              <w:left w:w="108" w:type="dxa"/>
              <w:bottom w:w="0" w:type="dxa"/>
              <w:right w:w="108" w:type="dxa"/>
            </w:tcMar>
            <w:vAlign w:val="center"/>
          </w:tcPr>
          <w:p w14:paraId="12CA131E">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val="en-US" w:eastAsia="zh-CN"/>
              </w:rPr>
            </w:pPr>
            <w:r>
              <w:rPr>
                <w:rFonts w:hint="default" w:ascii="宋体" w:hAnsi="宋体" w:eastAsia="宋体" w:cs="Times New Roman"/>
                <w:kern w:val="0"/>
                <w:sz w:val="24"/>
                <w:szCs w:val="24"/>
                <w:lang w:val="en-US" w:eastAsia="zh-CN"/>
              </w:rPr>
              <w:t>院长</w:t>
            </w:r>
          </w:p>
        </w:tc>
        <w:tc>
          <w:tcPr>
            <w:tcW w:w="1186" w:type="dxa"/>
            <w:tcBorders>
              <w:tl2br w:val="nil"/>
              <w:tr2bl w:val="nil"/>
            </w:tcBorders>
            <w:tcMar>
              <w:top w:w="0" w:type="dxa"/>
              <w:left w:w="108" w:type="dxa"/>
              <w:bottom w:w="0" w:type="dxa"/>
              <w:right w:w="108" w:type="dxa"/>
            </w:tcMar>
            <w:vAlign w:val="center"/>
          </w:tcPr>
          <w:p w14:paraId="79A4590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zh-CN"/>
              </w:rPr>
            </w:pPr>
            <w:r>
              <w:rPr>
                <w:rFonts w:hint="default" w:ascii="宋体" w:hAnsi="宋体" w:eastAsia="宋体" w:cs="Times New Roman"/>
                <w:kern w:val="0"/>
                <w:sz w:val="24"/>
                <w:szCs w:val="24"/>
                <w:lang w:eastAsia="zh-CN"/>
              </w:rPr>
              <w:t>电话</w:t>
            </w:r>
          </w:p>
        </w:tc>
        <w:tc>
          <w:tcPr>
            <w:tcW w:w="1729" w:type="dxa"/>
            <w:tcBorders>
              <w:tl2br w:val="nil"/>
              <w:tr2bl w:val="nil"/>
            </w:tcBorders>
            <w:tcMar>
              <w:top w:w="0" w:type="dxa"/>
              <w:left w:w="108" w:type="dxa"/>
              <w:bottom w:w="0" w:type="dxa"/>
              <w:right w:w="108" w:type="dxa"/>
            </w:tcMar>
            <w:vAlign w:val="center"/>
          </w:tcPr>
          <w:p w14:paraId="2CD7712D">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0871-4141223</w:t>
            </w:r>
          </w:p>
        </w:tc>
      </w:tr>
      <w:tr w14:paraId="261755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7" w:hRule="exact"/>
          <w:jc w:val="center"/>
        </w:trPr>
        <w:tc>
          <w:tcPr>
            <w:tcW w:w="2199" w:type="dxa"/>
            <w:tcBorders>
              <w:tl2br w:val="nil"/>
              <w:tr2bl w:val="nil"/>
            </w:tcBorders>
            <w:tcMar>
              <w:top w:w="0" w:type="dxa"/>
              <w:left w:w="108" w:type="dxa"/>
              <w:bottom w:w="0" w:type="dxa"/>
              <w:right w:w="108" w:type="dxa"/>
            </w:tcMar>
            <w:vAlign w:val="center"/>
          </w:tcPr>
          <w:p w14:paraId="26EE1CAF">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联系人</w:t>
            </w:r>
          </w:p>
        </w:tc>
        <w:tc>
          <w:tcPr>
            <w:tcW w:w="1031" w:type="dxa"/>
            <w:tcBorders>
              <w:tl2br w:val="nil"/>
              <w:tr2bl w:val="nil"/>
            </w:tcBorders>
            <w:tcMar>
              <w:top w:w="0" w:type="dxa"/>
              <w:left w:w="108" w:type="dxa"/>
              <w:bottom w:w="0" w:type="dxa"/>
              <w:right w:w="108" w:type="dxa"/>
            </w:tcMar>
            <w:vAlign w:val="center"/>
          </w:tcPr>
          <w:p w14:paraId="39465113">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val="en-US" w:eastAsia="zh-CN"/>
              </w:rPr>
            </w:pPr>
            <w:r>
              <w:rPr>
                <w:rFonts w:hint="default" w:ascii="宋体" w:hAnsi="宋体" w:eastAsia="宋体" w:cs="Times New Roman"/>
                <w:kern w:val="0"/>
                <w:sz w:val="24"/>
                <w:szCs w:val="24"/>
                <w:lang w:val="en-US" w:eastAsia="zh-CN"/>
              </w:rPr>
              <w:t>杨艳</w:t>
            </w:r>
          </w:p>
        </w:tc>
        <w:tc>
          <w:tcPr>
            <w:tcW w:w="1065" w:type="dxa"/>
            <w:tcBorders>
              <w:tl2br w:val="nil"/>
              <w:tr2bl w:val="nil"/>
            </w:tcBorders>
            <w:tcMar>
              <w:top w:w="0" w:type="dxa"/>
              <w:left w:w="108" w:type="dxa"/>
              <w:bottom w:w="0" w:type="dxa"/>
              <w:right w:w="108" w:type="dxa"/>
            </w:tcMar>
            <w:vAlign w:val="center"/>
          </w:tcPr>
          <w:p w14:paraId="2FE2C6E7">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电话</w:t>
            </w:r>
          </w:p>
        </w:tc>
        <w:tc>
          <w:tcPr>
            <w:tcW w:w="1769" w:type="dxa"/>
            <w:tcBorders>
              <w:tl2br w:val="nil"/>
              <w:tr2bl w:val="nil"/>
            </w:tcBorders>
            <w:tcMar>
              <w:top w:w="0" w:type="dxa"/>
              <w:left w:w="108" w:type="dxa"/>
              <w:bottom w:w="0" w:type="dxa"/>
              <w:right w:w="108" w:type="dxa"/>
            </w:tcMar>
            <w:vAlign w:val="center"/>
          </w:tcPr>
          <w:p w14:paraId="7242610A">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eastAsia="宋体" w:cs="Times New Roman"/>
                <w:kern w:val="0"/>
                <w:sz w:val="24"/>
                <w:szCs w:val="24"/>
                <w:lang w:val="en-US" w:eastAsia="zh-CN"/>
              </w:rPr>
            </w:pPr>
            <w:r>
              <w:rPr>
                <w:rFonts w:hint="default" w:ascii="宋体" w:hAnsi="宋体" w:eastAsia="宋体" w:cs="Times New Roman"/>
                <w:kern w:val="0"/>
                <w:sz w:val="24"/>
                <w:szCs w:val="24"/>
                <w:lang w:eastAsia="en-US"/>
              </w:rPr>
              <w:t>0871-4141223</w:t>
            </w:r>
          </w:p>
        </w:tc>
        <w:tc>
          <w:tcPr>
            <w:tcW w:w="1186" w:type="dxa"/>
            <w:tcBorders>
              <w:tl2br w:val="nil"/>
              <w:tr2bl w:val="nil"/>
            </w:tcBorders>
            <w:tcMar>
              <w:top w:w="0" w:type="dxa"/>
              <w:left w:w="108" w:type="dxa"/>
              <w:bottom w:w="0" w:type="dxa"/>
              <w:right w:w="108" w:type="dxa"/>
            </w:tcMar>
            <w:vAlign w:val="center"/>
          </w:tcPr>
          <w:p w14:paraId="13289819">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E-mail</w:t>
            </w:r>
          </w:p>
        </w:tc>
        <w:tc>
          <w:tcPr>
            <w:tcW w:w="1729" w:type="dxa"/>
            <w:tcBorders>
              <w:tl2br w:val="nil"/>
              <w:tr2bl w:val="nil"/>
            </w:tcBorders>
            <w:tcMar>
              <w:top w:w="0" w:type="dxa"/>
              <w:left w:w="108" w:type="dxa"/>
              <w:bottom w:w="0" w:type="dxa"/>
              <w:right w:w="108" w:type="dxa"/>
            </w:tcMar>
            <w:vAlign w:val="center"/>
          </w:tcPr>
          <w:p w14:paraId="718F6EDE">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lang w:eastAsia="en-US"/>
              </w:rPr>
            </w:pPr>
            <w:r>
              <w:rPr>
                <w:rFonts w:hint="default" w:ascii="宋体" w:hAnsi="宋体" w:eastAsia="宋体" w:cs="Times New Roman"/>
                <w:kern w:val="0"/>
                <w:sz w:val="24"/>
                <w:szCs w:val="24"/>
                <w:lang w:eastAsia="en-US"/>
              </w:rPr>
              <w:t>hkyzdsys@163.com</w:t>
            </w:r>
          </w:p>
        </w:tc>
      </w:tr>
      <w:tr w14:paraId="534326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1705BA31">
            <w:pPr>
              <w:keepNext w:val="0"/>
              <w:keepLines w:val="0"/>
              <w:pageBreakBefore w:val="0"/>
              <w:widowControl/>
              <w:kinsoku/>
              <w:wordWrap/>
              <w:overflowPunct/>
              <w:topLinePunct w:val="0"/>
              <w:autoSpaceDE/>
              <w:autoSpaceDN/>
              <w:bidi w:val="0"/>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6780" w:type="dxa"/>
            <w:gridSpan w:val="5"/>
            <w:tcBorders>
              <w:tl2br w:val="nil"/>
              <w:tr2bl w:val="nil"/>
            </w:tcBorders>
            <w:tcMar>
              <w:top w:w="0" w:type="dxa"/>
              <w:left w:w="108" w:type="dxa"/>
              <w:bottom w:w="0" w:type="dxa"/>
              <w:right w:w="108" w:type="dxa"/>
            </w:tcMar>
            <w:vAlign w:val="center"/>
          </w:tcPr>
          <w:p w14:paraId="3A5C54D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昆明市生态环境科学研究院成立于1978年，是昆明市环境保护局下属全额拨款事业单位</w:t>
            </w:r>
            <w:r>
              <w:rPr>
                <w:rFonts w:hint="default"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主要职能是为昆明市环境管理和环境决策提供技术支撑。主要从事湖泊、水库、河流水环境调查研究和模拟分析，并开展规划编制；开展低碳城市发展规划研究、区域生态环境的恢复与利用技术研究；开展农村生态环境治理技术和湿地生态环境保护；开展循环经济、清洁生产技术的研究及推广；开展区域生态建设与环境保护规划、环境功能区划的编制及研究；承担对生态环境污染治理技术的试验，研究技术的引进及推广应用；承担对污染控制技术的研究与开发应用；承担对生态环境保护</w:t>
            </w:r>
            <w:r>
              <w:rPr>
                <w:rFonts w:hint="eastAsia" w:ascii="宋体" w:hAnsi="宋体" w:eastAsia="宋体" w:cs="Times New Roman"/>
                <w:kern w:val="0"/>
                <w:sz w:val="24"/>
                <w:szCs w:val="24"/>
                <w:lang w:val="en-US" w:eastAsia="zh-CN" w:bidi="ar-SA"/>
              </w:rPr>
              <w:t>法律法规</w:t>
            </w:r>
            <w:r>
              <w:rPr>
                <w:rFonts w:hint="default" w:ascii="宋体" w:hAnsi="宋体" w:eastAsia="宋体" w:cs="Times New Roman"/>
                <w:kern w:val="0"/>
                <w:sz w:val="24"/>
                <w:szCs w:val="24"/>
                <w:lang w:val="en-US" w:eastAsia="en-US" w:bidi="ar-SA"/>
              </w:rPr>
              <w:t>、政策、标准的应用研究；承担对土壤和大气污染防治技术的研究与发展规划编制；负责对国内外生态环境保护领域先进技术、信息的收集，提供最新生态环境保护科技动态；开展生态环境污染损害鉴定评估；开展环境系统模拟与风险评估。</w:t>
            </w:r>
          </w:p>
          <w:p w14:paraId="30871F8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cs="Times New Roman" w:eastAsiaTheme="minorEastAsia"/>
                <w:kern w:val="0"/>
                <w:sz w:val="24"/>
                <w:szCs w:val="24"/>
              </w:rPr>
            </w:pPr>
            <w:r>
              <w:rPr>
                <w:rFonts w:hint="default" w:ascii="宋体" w:hAnsi="宋体" w:eastAsia="宋体" w:cs="Times New Roman"/>
                <w:kern w:val="0"/>
                <w:sz w:val="24"/>
                <w:szCs w:val="24"/>
                <w:lang w:val="en-US" w:eastAsia="en-US" w:bidi="ar-SA"/>
              </w:rPr>
              <w:t>昆明市生态环境科学研究院自成立以来，在历届院领导团队的带领下，不断发挥“科学家的工匠精神”，专注于生态环境保护各项科研课题</w:t>
            </w:r>
            <w:r>
              <w:rPr>
                <w:rFonts w:hint="eastAsia" w:ascii="宋体" w:hAnsi="宋体" w:eastAsia="宋体" w:cs="Times New Roman"/>
                <w:kern w:val="0"/>
                <w:sz w:val="24"/>
                <w:szCs w:val="24"/>
                <w:lang w:val="en-US" w:eastAsia="zh-CN" w:bidi="ar-SA"/>
              </w:rPr>
              <w:t>，为</w:t>
            </w:r>
            <w:r>
              <w:rPr>
                <w:rFonts w:hint="default" w:ascii="宋体" w:hAnsi="宋体" w:eastAsia="宋体" w:cs="Times New Roman"/>
                <w:kern w:val="0"/>
                <w:sz w:val="24"/>
                <w:szCs w:val="24"/>
                <w:lang w:val="en-US" w:eastAsia="en-US" w:bidi="ar-SA"/>
              </w:rPr>
              <w:t>开拓全国所特有的高原山地独特地质环境和长江经济带上游源头的环境综合治理提供技术支撑。尤其是在滇池等流域湖泊水域环境的污染源识别、监测，以及污染面源的治理和整个昆明市水质的改善，做出了突出的贡献。为昆明市区域生态环境保护规划、建设生态文明示范样板提供科研技术决策支撑，创造社会价值和环保产业经济价值的同时，不断做出科研贡献。</w:t>
            </w:r>
          </w:p>
        </w:tc>
      </w:tr>
      <w:tr w14:paraId="00C947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21155142">
            <w:pPr>
              <w:keepNext w:val="0"/>
              <w:keepLines w:val="0"/>
              <w:pageBreakBefore w:val="0"/>
              <w:widowControl/>
              <w:kinsoku/>
              <w:wordWrap/>
              <w:overflowPunct/>
              <w:topLinePunct w:val="0"/>
              <w:autoSpaceDE/>
              <w:autoSpaceDN/>
              <w:bidi w:val="0"/>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5DBD947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本实用新型属于底泥切割技术领域，具体涉及一种柱状底泥手动切割装置。在环境监测中，通常需要对河流湖库的底泥进行采样分析，了解不同深度底泥的成分、有机物或污染物的含量等，以分析河流、湖库的环境情况，柱状底泥取样器是进行底泥取样的主要设备，其应用范围较广，在河流、湖泊、湿地、沼泽、滩涂、海岸带及三角洲等均有应用。</w:t>
            </w:r>
          </w:p>
          <w:p w14:paraId="5ABC443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cs="Times New Roman" w:eastAsiaTheme="minorEastAsia"/>
                <w:kern w:val="0"/>
                <w:sz w:val="24"/>
                <w:szCs w:val="24"/>
              </w:rPr>
            </w:pPr>
            <w:r>
              <w:rPr>
                <w:rFonts w:hint="default" w:ascii="宋体" w:hAnsi="宋体" w:eastAsia="宋体" w:cs="Times New Roman"/>
                <w:kern w:val="0"/>
                <w:sz w:val="24"/>
                <w:szCs w:val="24"/>
                <w:lang w:val="en-US" w:eastAsia="en-US" w:bidi="ar-SA"/>
              </w:rPr>
              <w:t>在对底泥进行具体的分析研究之前，需要从底泥样品中截取出具体深度处的样品段，如需要从较长的底泥样品中截取出某一长度的样品段，但是对于现有的底泥取样设备，往往是通过人工利用推杆将底泥推出，操作较为</w:t>
            </w:r>
            <w:r>
              <w:rPr>
                <w:rFonts w:hint="eastAsia" w:ascii="宋体" w:hAnsi="宋体" w:eastAsia="宋体" w:cs="Times New Roman"/>
                <w:kern w:val="0"/>
                <w:sz w:val="24"/>
                <w:szCs w:val="24"/>
                <w:lang w:val="en-US" w:eastAsia="zh-CN" w:bidi="ar-SA"/>
              </w:rPr>
              <w:t>烦琐</w:t>
            </w:r>
            <w:r>
              <w:rPr>
                <w:rFonts w:hint="default" w:ascii="宋体" w:hAnsi="宋体" w:eastAsia="宋体" w:cs="Times New Roman"/>
                <w:kern w:val="0"/>
                <w:sz w:val="24"/>
                <w:szCs w:val="24"/>
                <w:lang w:val="en-US" w:eastAsia="en-US" w:bidi="ar-SA"/>
              </w:rPr>
              <w:t>，无法以较为简便的方式将底泥顶出，使得后续进行的底泥切割，较为费时费力，不方便使用；为实现上述目的，本实用新型提供如下技术方案：一种</w:t>
            </w:r>
            <w:r>
              <w:rPr>
                <w:rFonts w:hint="default" w:ascii="宋体" w:hAnsi="宋体" w:eastAsia="宋体" w:cs="Times New Roman"/>
                <w:kern w:val="0"/>
                <w:sz w:val="24"/>
                <w:szCs w:val="24"/>
                <w:lang w:val="en-US" w:eastAsia="zh-CN" w:bidi="ar-SA"/>
              </w:rPr>
              <w:t>柱状底泥手动切割装置，</w:t>
            </w:r>
            <w:r>
              <w:rPr>
                <w:rFonts w:hint="default" w:ascii="宋体" w:hAnsi="宋体" w:eastAsia="宋体" w:cs="Times New Roman"/>
                <w:kern w:val="0"/>
                <w:sz w:val="24"/>
                <w:szCs w:val="24"/>
                <w:lang w:val="en-US" w:eastAsia="en-US" w:bidi="ar-SA"/>
              </w:rPr>
              <w:t>包括支架以及设置在所述支架外侧壁的夹持机构和安装在所述支架顶端的切割结构，所述夹持机构上设置有</w:t>
            </w:r>
            <w:r>
              <w:rPr>
                <w:rFonts w:hint="default" w:ascii="宋体" w:hAnsi="宋体" w:eastAsia="宋体" w:cs="Times New Roman"/>
                <w:kern w:val="0"/>
                <w:sz w:val="24"/>
                <w:szCs w:val="24"/>
                <w:lang w:val="en-US" w:eastAsia="zh-CN" w:bidi="ar-SA"/>
              </w:rPr>
              <w:t>采样管</w:t>
            </w:r>
            <w:r>
              <w:rPr>
                <w:rFonts w:hint="default" w:ascii="宋体" w:hAnsi="宋体" w:eastAsia="宋体" w:cs="Times New Roman"/>
                <w:kern w:val="0"/>
                <w:sz w:val="24"/>
                <w:szCs w:val="24"/>
                <w:lang w:val="en-US" w:eastAsia="en-US" w:bidi="ar-SA"/>
              </w:rPr>
              <w:t>，还包括安装在所述</w:t>
            </w:r>
            <w:r>
              <w:rPr>
                <w:rFonts w:hint="default" w:ascii="宋体" w:hAnsi="宋体" w:eastAsia="宋体" w:cs="Times New Roman"/>
                <w:kern w:val="0"/>
                <w:sz w:val="24"/>
                <w:szCs w:val="24"/>
                <w:lang w:val="en-US" w:eastAsia="zh-CN" w:bidi="ar-SA"/>
              </w:rPr>
              <w:t>采样管</w:t>
            </w:r>
            <w:r>
              <w:rPr>
                <w:rFonts w:hint="default" w:ascii="宋体" w:hAnsi="宋体" w:eastAsia="宋体" w:cs="Times New Roman"/>
                <w:kern w:val="0"/>
                <w:sz w:val="24"/>
                <w:szCs w:val="24"/>
                <w:lang w:val="en-US" w:eastAsia="en-US" w:bidi="ar-SA"/>
              </w:rPr>
              <w:t>上的顶升组件；用户通过此</w:t>
            </w:r>
            <w:r>
              <w:rPr>
                <w:rFonts w:hint="default" w:ascii="宋体" w:hAnsi="宋体" w:eastAsia="宋体" w:cs="Times New Roman"/>
                <w:kern w:val="0"/>
                <w:sz w:val="24"/>
                <w:szCs w:val="24"/>
                <w:lang w:val="en-US" w:eastAsia="zh-CN" w:bidi="ar-SA"/>
              </w:rPr>
              <w:t>顶升组件</w:t>
            </w:r>
            <w:r>
              <w:rPr>
                <w:rFonts w:hint="default" w:ascii="宋体" w:hAnsi="宋体" w:eastAsia="宋体" w:cs="Times New Roman"/>
                <w:kern w:val="0"/>
                <w:sz w:val="24"/>
                <w:szCs w:val="24"/>
                <w:lang w:val="en-US" w:eastAsia="en-US" w:bidi="ar-SA"/>
              </w:rPr>
              <w:t>，</w:t>
            </w:r>
            <w:r>
              <w:rPr>
                <w:rFonts w:hint="default" w:ascii="宋体" w:hAnsi="宋体" w:eastAsia="宋体" w:cs="Times New Roman"/>
                <w:kern w:val="0"/>
                <w:sz w:val="24"/>
                <w:szCs w:val="24"/>
                <w:lang w:val="en-US" w:eastAsia="zh-CN" w:bidi="ar-SA"/>
              </w:rPr>
              <w:t>通过踩踏踏板的方式，使底泥样品顶升出一定距离，便于通过切割机构完</w:t>
            </w:r>
            <w:r>
              <w:rPr>
                <w:rFonts w:hint="default" w:ascii="宋体" w:hAnsi="宋体" w:eastAsia="宋体" w:cs="Times New Roman"/>
                <w:kern w:val="0"/>
                <w:sz w:val="24"/>
                <w:szCs w:val="24"/>
                <w:lang w:val="en-US" w:eastAsia="en-US" w:bidi="ar-SA"/>
              </w:rPr>
              <w:t>成底泥样品</w:t>
            </w:r>
            <w:r>
              <w:rPr>
                <w:rFonts w:hint="default" w:ascii="宋体" w:hAnsi="宋体" w:eastAsia="宋体" w:cs="Times New Roman"/>
                <w:kern w:val="0"/>
                <w:sz w:val="24"/>
                <w:szCs w:val="24"/>
                <w:lang w:val="en-US" w:eastAsia="zh-CN" w:bidi="ar-SA"/>
              </w:rPr>
              <w:t>的</w:t>
            </w:r>
            <w:r>
              <w:rPr>
                <w:rFonts w:hint="default" w:ascii="宋体" w:hAnsi="宋体" w:eastAsia="宋体" w:cs="Times New Roman"/>
                <w:kern w:val="0"/>
                <w:sz w:val="24"/>
                <w:szCs w:val="24"/>
                <w:lang w:val="en-US" w:eastAsia="en-US" w:bidi="ar-SA"/>
              </w:rPr>
              <w:t>切割，并且在此机构上加入了</w:t>
            </w:r>
            <w:r>
              <w:rPr>
                <w:rFonts w:hint="default" w:ascii="宋体" w:hAnsi="宋体" w:eastAsia="宋体" w:cs="Times New Roman"/>
                <w:kern w:val="0"/>
                <w:sz w:val="24"/>
                <w:szCs w:val="24"/>
                <w:lang w:val="en-US" w:eastAsia="zh-CN" w:bidi="ar-SA"/>
              </w:rPr>
              <w:t>辅助组件</w:t>
            </w:r>
            <w:r>
              <w:rPr>
                <w:rFonts w:hint="default" w:ascii="宋体" w:hAnsi="宋体" w:eastAsia="宋体" w:cs="Times New Roman"/>
                <w:kern w:val="0"/>
                <w:sz w:val="24"/>
                <w:szCs w:val="24"/>
                <w:lang w:val="en-US" w:eastAsia="en-US" w:bidi="ar-SA"/>
              </w:rPr>
              <w:t>，可</w:t>
            </w:r>
            <w:r>
              <w:rPr>
                <w:rFonts w:hint="default" w:ascii="宋体" w:hAnsi="宋体" w:eastAsia="宋体" w:cs="Times New Roman"/>
                <w:kern w:val="0"/>
                <w:sz w:val="24"/>
                <w:szCs w:val="24"/>
                <w:lang w:val="en-US" w:eastAsia="zh-CN" w:bidi="ar-SA"/>
              </w:rPr>
              <w:t>利用限位块提高限位板移动的稳定性，并可通过把手快速移动限位板。</w:t>
            </w:r>
          </w:p>
        </w:tc>
      </w:tr>
      <w:tr w14:paraId="1BAA2D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0522072E">
            <w:pPr>
              <w:keepNext w:val="0"/>
              <w:keepLines w:val="0"/>
              <w:pageBreakBefore w:val="0"/>
              <w:widowControl/>
              <w:kinsoku/>
              <w:wordWrap/>
              <w:overflowPunct/>
              <w:topLinePunct w:val="0"/>
              <w:autoSpaceDE/>
              <w:autoSpaceDN/>
              <w:bidi w:val="0"/>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6780" w:type="dxa"/>
            <w:gridSpan w:val="5"/>
            <w:tcBorders>
              <w:tl2br w:val="nil"/>
              <w:tr2bl w:val="nil"/>
            </w:tcBorders>
            <w:tcMar>
              <w:top w:w="0" w:type="dxa"/>
              <w:left w:w="108" w:type="dxa"/>
              <w:bottom w:w="0" w:type="dxa"/>
              <w:right w:w="108" w:type="dxa"/>
            </w:tcMar>
            <w:vAlign w:val="center"/>
          </w:tcPr>
          <w:p w14:paraId="29CBEB41">
            <w:pPr>
              <w:keepNext w:val="0"/>
              <w:keepLines w:val="0"/>
              <w:pageBreakBefore w:val="0"/>
              <w:widowControl/>
              <w:kinsoku/>
              <w:wordWrap/>
              <w:overflowPunct/>
              <w:topLinePunct w:val="0"/>
              <w:autoSpaceDE/>
              <w:autoSpaceDN/>
              <w:bidi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eastAsia="宋体" w:cs="Times New Roman"/>
                <w:kern w:val="0"/>
                <w:sz w:val="24"/>
                <w:szCs w:val="24"/>
                <w:lang w:val="en-US" w:eastAsia="zh-CN" w:bidi="ar-SA"/>
              </w:rPr>
              <w:t>杨艳</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孙晓能</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邵智</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李龙</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熊健</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李昕悦</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王燕萍</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段玲玲</w:t>
            </w:r>
          </w:p>
        </w:tc>
      </w:tr>
      <w:tr w14:paraId="3916B6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29927066">
            <w:pPr>
              <w:keepNext w:val="0"/>
              <w:keepLines w:val="0"/>
              <w:pageBreakBefore w:val="0"/>
              <w:widowControl/>
              <w:kinsoku/>
              <w:wordWrap/>
              <w:overflowPunct/>
              <w:topLinePunct w:val="0"/>
              <w:autoSpaceDE/>
              <w:autoSpaceDN/>
              <w:bidi w:val="0"/>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09DA7B26">
            <w:pPr>
              <w:keepNext w:val="0"/>
              <w:keepLines w:val="0"/>
              <w:pageBreakBefore w:val="0"/>
              <w:widowControl/>
              <w:kinsoku/>
              <w:wordWrap/>
              <w:overflowPunct/>
              <w:topLinePunct w:val="0"/>
              <w:autoSpaceDE/>
              <w:autoSpaceDN/>
              <w:bidi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eastAsia="宋体" w:cs="Times New Roman"/>
                <w:kern w:val="0"/>
                <w:sz w:val="24"/>
                <w:szCs w:val="24"/>
                <w:lang w:val="en-US" w:eastAsia="zh-CN" w:bidi="ar-SA"/>
              </w:rPr>
              <w:t>于2024年5月3日获得实用新型专利证书。</w:t>
            </w:r>
          </w:p>
        </w:tc>
      </w:tr>
      <w:tr w14:paraId="7D000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60929525">
            <w:pPr>
              <w:keepNext w:val="0"/>
              <w:keepLines w:val="0"/>
              <w:pageBreakBefore w:val="0"/>
              <w:widowControl/>
              <w:kinsoku/>
              <w:wordWrap/>
              <w:overflowPunct/>
              <w:topLinePunct w:val="0"/>
              <w:autoSpaceDE/>
              <w:autoSpaceDN/>
              <w:bidi w:val="0"/>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3AA26CED">
            <w:pPr>
              <w:keepNext w:val="0"/>
              <w:keepLines w:val="0"/>
              <w:pageBreakBefore w:val="0"/>
              <w:widowControl/>
              <w:kinsoku/>
              <w:wordWrap/>
              <w:overflowPunct/>
              <w:topLinePunct w:val="0"/>
              <w:autoSpaceDE/>
              <w:autoSpaceDN/>
              <w:bidi w:val="0"/>
              <w:spacing w:beforeAutospacing="0" w:afterAutospacing="0" w:line="440" w:lineRule="exact"/>
              <w:ind w:firstLine="480" w:firstLineChars="200"/>
              <w:jc w:val="center"/>
              <w:textAlignment w:val="auto"/>
              <w:rPr>
                <w:rFonts w:hint="default" w:ascii="宋体" w:hAnsi="宋体" w:cs="Times New Roman" w:eastAsiaTheme="minorEastAsia"/>
                <w:kern w:val="0"/>
                <w:sz w:val="24"/>
                <w:szCs w:val="24"/>
              </w:rPr>
            </w:pPr>
            <w:r>
              <w:rPr>
                <w:rFonts w:hint="default" w:ascii="宋体" w:hAnsi="宋体" w:eastAsia="宋体" w:cs="Times New Roman"/>
                <w:kern w:val="0"/>
                <w:sz w:val="24"/>
                <w:szCs w:val="24"/>
                <w:lang w:val="en-US" w:eastAsia="zh-CN" w:bidi="ar-SA"/>
              </w:rPr>
              <w:t>底泥切割技术领域</w:t>
            </w:r>
          </w:p>
        </w:tc>
      </w:tr>
      <w:tr w14:paraId="018791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5BC503B8">
            <w:pPr>
              <w:keepNext w:val="0"/>
              <w:keepLines w:val="0"/>
              <w:pageBreakBefore w:val="0"/>
              <w:widowControl/>
              <w:kinsoku/>
              <w:wordWrap/>
              <w:overflowPunct/>
              <w:topLinePunct w:val="0"/>
              <w:autoSpaceDE/>
              <w:autoSpaceDN/>
              <w:bidi w:val="0"/>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6F5A72D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firstLine="480" w:firstLineChars="200"/>
              <w:jc w:val="left"/>
              <w:textAlignment w:val="auto"/>
              <w:rPr>
                <w:rFonts w:hint="default" w:ascii="宋体" w:hAnsi="宋体" w:cs="Times New Roman" w:eastAsiaTheme="minorEastAsia"/>
                <w:kern w:val="0"/>
                <w:sz w:val="24"/>
                <w:szCs w:val="24"/>
              </w:rPr>
            </w:pPr>
            <w:r>
              <w:rPr>
                <w:rFonts w:hint="default" w:ascii="宋体" w:hAnsi="宋体" w:eastAsia="宋体" w:cs="Times New Roman"/>
                <w:kern w:val="0"/>
                <w:sz w:val="24"/>
                <w:szCs w:val="24"/>
                <w:lang w:val="en-US" w:eastAsia="zh-CN" w:bidi="ar-SA"/>
              </w:rPr>
              <w:t>本产品，在昆明市生态环境科学院研究院2021年的“滇池湖体水生态监测调查与修复技术研究示范”推进过程中得到了较好应用，项目组利用该专利设备对滇池50余个柱状底泥进行了切割，大大提升了工作效率，为后续的底泥污染物的检测分析提供了有力保障。</w:t>
            </w:r>
          </w:p>
        </w:tc>
      </w:tr>
    </w:tbl>
    <w:p w14:paraId="36258331">
      <w:pPr>
        <w:rPr>
          <w:rFonts w:hint="default" w:ascii="宋体" w:hAnsi="宋体" w:cs="Times New Roman"/>
          <w:lang w:val="en-US" w:eastAsia="zh-CN"/>
        </w:rPr>
      </w:pPr>
      <w:r>
        <w:rPr>
          <w:rFonts w:hint="default" w:ascii="宋体" w:hAnsi="宋体" w:cs="Times New Roman"/>
          <w:lang w:val="en-US" w:eastAsia="zh-CN"/>
        </w:rPr>
        <w:br w:type="page"/>
      </w:r>
    </w:p>
    <w:p w14:paraId="66B68B95">
      <w:pPr>
        <w:pStyle w:val="4"/>
        <w:keepNext/>
        <w:keepLines/>
        <w:pageBreakBefore/>
        <w:widowControl w:val="0"/>
        <w:kinsoku/>
        <w:wordWrap/>
        <w:overflowPunct/>
        <w:topLinePunct w:val="0"/>
        <w:autoSpaceDE/>
        <w:autoSpaceDN/>
        <w:bidi w:val="0"/>
        <w:adjustRightInd/>
        <w:snapToGrid/>
        <w:spacing w:before="140" w:after="140" w:line="240" w:lineRule="auto"/>
        <w:textAlignment w:val="auto"/>
        <w:rPr>
          <w:rFonts w:hint="default" w:ascii="宋体" w:hAnsi="宋体" w:cs="Times New Roman"/>
          <w:sz w:val="28"/>
          <w:szCs w:val="28"/>
          <w:lang w:val="en-US" w:eastAsia="zh-CN"/>
        </w:rPr>
      </w:pPr>
      <w:bookmarkStart w:id="14" w:name="_Toc31138"/>
      <w:r>
        <w:rPr>
          <w:rFonts w:hint="default" w:ascii="宋体" w:hAnsi="宋体" w:cs="Times New Roman"/>
          <w:sz w:val="28"/>
          <w:szCs w:val="28"/>
          <w:lang w:val="en-US" w:eastAsia="zh-CN"/>
        </w:rPr>
        <w:t>2.</w:t>
      </w:r>
      <w:r>
        <w:rPr>
          <w:rFonts w:hint="eastAsia" w:ascii="宋体" w:hAnsi="宋体" w:cs="Times New Roman"/>
          <w:sz w:val="28"/>
          <w:szCs w:val="28"/>
          <w:lang w:val="en-US" w:eastAsia="zh-CN"/>
        </w:rPr>
        <w:t>10</w:t>
      </w:r>
      <w:r>
        <w:rPr>
          <w:rFonts w:hint="default" w:ascii="宋体" w:hAnsi="宋体" w:cs="Times New Roman"/>
          <w:sz w:val="28"/>
          <w:szCs w:val="28"/>
          <w:lang w:val="en-US" w:eastAsia="zh-CN"/>
        </w:rPr>
        <w:t xml:space="preserve"> 一种多功能水土保持效益评价装置</w:t>
      </w:r>
      <w:bookmarkEnd w:id="14"/>
    </w:p>
    <w:p w14:paraId="68FFB1B7">
      <w:pPr>
        <w:rPr>
          <w:rFonts w:hint="default" w:ascii="宋体" w:hAnsi="宋体" w:cs="Times New Roman"/>
          <w:lang w:val="en-US" w:eastAsia="zh-CN"/>
        </w:rPr>
      </w:pPr>
    </w:p>
    <w:tbl>
      <w:tblPr>
        <w:tblStyle w:val="28"/>
        <w:tblW w:w="9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134"/>
        <w:gridCol w:w="1450"/>
        <w:gridCol w:w="740"/>
        <w:gridCol w:w="1571"/>
        <w:gridCol w:w="1377"/>
        <w:gridCol w:w="1882"/>
      </w:tblGrid>
      <w:tr w14:paraId="55106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5318B87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020" w:type="dxa"/>
            <w:gridSpan w:val="5"/>
            <w:tcMar>
              <w:top w:w="0" w:type="dxa"/>
              <w:left w:w="108" w:type="dxa"/>
              <w:bottom w:w="0" w:type="dxa"/>
              <w:right w:w="108" w:type="dxa"/>
            </w:tcMar>
            <w:vAlign w:val="center"/>
          </w:tcPr>
          <w:p w14:paraId="039394DF">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一种多功能水土保持效益评价装置</w:t>
            </w:r>
          </w:p>
        </w:tc>
      </w:tr>
      <w:tr w14:paraId="71B83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0630AEF3">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020" w:type="dxa"/>
            <w:gridSpan w:val="5"/>
            <w:tcMar>
              <w:top w:w="0" w:type="dxa"/>
              <w:left w:w="108" w:type="dxa"/>
              <w:bottom w:w="0" w:type="dxa"/>
              <w:right w:w="108" w:type="dxa"/>
            </w:tcMar>
            <w:vAlign w:val="center"/>
          </w:tcPr>
          <w:p w14:paraId="72E7416B">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云南省水利水电科学研究院</w:t>
            </w:r>
          </w:p>
        </w:tc>
      </w:tr>
      <w:tr w14:paraId="01E41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2" w:hRule="exact"/>
          <w:jc w:val="center"/>
        </w:trPr>
        <w:tc>
          <w:tcPr>
            <w:tcW w:w="2134" w:type="dxa"/>
            <w:tcMar>
              <w:top w:w="0" w:type="dxa"/>
              <w:left w:w="108" w:type="dxa"/>
              <w:bottom w:w="0" w:type="dxa"/>
              <w:right w:w="108" w:type="dxa"/>
            </w:tcMar>
            <w:vAlign w:val="center"/>
          </w:tcPr>
          <w:p w14:paraId="19F84A0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3761" w:type="dxa"/>
            <w:gridSpan w:val="3"/>
            <w:tcMar>
              <w:top w:w="0" w:type="dxa"/>
              <w:left w:w="108" w:type="dxa"/>
              <w:bottom w:w="0" w:type="dxa"/>
              <w:right w:w="108" w:type="dxa"/>
            </w:tcMar>
            <w:vAlign w:val="center"/>
          </w:tcPr>
          <w:p w14:paraId="2524F8FB">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云南省昆明市西山区新闻路南段五家堆</w:t>
            </w:r>
          </w:p>
        </w:tc>
        <w:tc>
          <w:tcPr>
            <w:tcW w:w="1377" w:type="dxa"/>
            <w:tcMar>
              <w:top w:w="0" w:type="dxa"/>
              <w:left w:w="108" w:type="dxa"/>
              <w:bottom w:w="0" w:type="dxa"/>
              <w:right w:w="108" w:type="dxa"/>
            </w:tcMar>
            <w:vAlign w:val="center"/>
          </w:tcPr>
          <w:p w14:paraId="0C5985E2">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882" w:type="dxa"/>
            <w:tcMar>
              <w:top w:w="0" w:type="dxa"/>
              <w:left w:w="108" w:type="dxa"/>
              <w:bottom w:w="0" w:type="dxa"/>
              <w:right w:w="108" w:type="dxa"/>
            </w:tcMar>
            <w:vAlign w:val="center"/>
          </w:tcPr>
          <w:p w14:paraId="23BE3714">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650228</w:t>
            </w:r>
          </w:p>
        </w:tc>
      </w:tr>
      <w:tr w14:paraId="0F20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49A0FDB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法人代表</w:t>
            </w:r>
          </w:p>
        </w:tc>
        <w:tc>
          <w:tcPr>
            <w:tcW w:w="1450" w:type="dxa"/>
            <w:tcMar>
              <w:top w:w="0" w:type="dxa"/>
              <w:left w:w="108" w:type="dxa"/>
              <w:bottom w:w="0" w:type="dxa"/>
              <w:right w:w="108" w:type="dxa"/>
            </w:tcMar>
            <w:vAlign w:val="center"/>
          </w:tcPr>
          <w:p w14:paraId="4E1A82A6">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张娴</w:t>
            </w:r>
          </w:p>
        </w:tc>
        <w:tc>
          <w:tcPr>
            <w:tcW w:w="740" w:type="dxa"/>
            <w:tcMar>
              <w:top w:w="0" w:type="dxa"/>
              <w:left w:w="108" w:type="dxa"/>
              <w:bottom w:w="0" w:type="dxa"/>
              <w:right w:w="108" w:type="dxa"/>
            </w:tcMar>
            <w:vAlign w:val="center"/>
          </w:tcPr>
          <w:p w14:paraId="31960F24">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val="en-US" w:eastAsia="zh-CN"/>
              </w:rPr>
              <w:t>职务</w:t>
            </w:r>
          </w:p>
        </w:tc>
        <w:tc>
          <w:tcPr>
            <w:tcW w:w="1571" w:type="dxa"/>
            <w:tcMar>
              <w:top w:w="0" w:type="dxa"/>
              <w:left w:w="108" w:type="dxa"/>
              <w:bottom w:w="0" w:type="dxa"/>
              <w:right w:w="108" w:type="dxa"/>
            </w:tcMar>
            <w:vAlign w:val="center"/>
          </w:tcPr>
          <w:p w14:paraId="1884F8BD">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院长</w:t>
            </w:r>
          </w:p>
        </w:tc>
        <w:tc>
          <w:tcPr>
            <w:tcW w:w="1377" w:type="dxa"/>
            <w:tcMar>
              <w:top w:w="0" w:type="dxa"/>
              <w:left w:w="108" w:type="dxa"/>
              <w:bottom w:w="0" w:type="dxa"/>
              <w:right w:w="108" w:type="dxa"/>
            </w:tcMar>
            <w:vAlign w:val="center"/>
          </w:tcPr>
          <w:p w14:paraId="440E2FDF">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val="en-US" w:eastAsia="zh-CN"/>
              </w:rPr>
              <w:t>电话</w:t>
            </w:r>
          </w:p>
        </w:tc>
        <w:tc>
          <w:tcPr>
            <w:tcW w:w="1882" w:type="dxa"/>
            <w:tcMar>
              <w:top w:w="0" w:type="dxa"/>
              <w:left w:w="108" w:type="dxa"/>
              <w:bottom w:w="0" w:type="dxa"/>
              <w:right w:w="108" w:type="dxa"/>
            </w:tcMar>
            <w:vAlign w:val="center"/>
          </w:tcPr>
          <w:p w14:paraId="7CDB80FB">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(0871)</w:t>
            </w:r>
            <w:r>
              <w:rPr>
                <w:rFonts w:hint="default" w:ascii="宋体" w:hAnsi="宋体" w:cs="Times New Roman" w:eastAsiaTheme="minorEastAsia"/>
                <w:kern w:val="0"/>
                <w:sz w:val="24"/>
                <w:szCs w:val="24"/>
              </w:rPr>
              <w:t>64167934</w:t>
            </w:r>
          </w:p>
        </w:tc>
      </w:tr>
      <w:tr w14:paraId="202DB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72" w:hRule="exact"/>
          <w:jc w:val="center"/>
        </w:trPr>
        <w:tc>
          <w:tcPr>
            <w:tcW w:w="2134" w:type="dxa"/>
            <w:tcMar>
              <w:top w:w="0" w:type="dxa"/>
              <w:left w:w="108" w:type="dxa"/>
              <w:bottom w:w="0" w:type="dxa"/>
              <w:right w:w="108" w:type="dxa"/>
            </w:tcMar>
            <w:vAlign w:val="center"/>
          </w:tcPr>
          <w:p w14:paraId="0E7CF04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450" w:type="dxa"/>
            <w:tcMar>
              <w:top w:w="0" w:type="dxa"/>
              <w:left w:w="108" w:type="dxa"/>
              <w:bottom w:w="0" w:type="dxa"/>
              <w:right w:w="108" w:type="dxa"/>
            </w:tcMar>
            <w:vAlign w:val="center"/>
          </w:tcPr>
          <w:p w14:paraId="5322893F">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李季孝</w:t>
            </w:r>
          </w:p>
        </w:tc>
        <w:tc>
          <w:tcPr>
            <w:tcW w:w="740" w:type="dxa"/>
            <w:tcMar>
              <w:top w:w="0" w:type="dxa"/>
              <w:left w:w="108" w:type="dxa"/>
              <w:bottom w:w="0" w:type="dxa"/>
              <w:right w:w="108" w:type="dxa"/>
            </w:tcMar>
            <w:vAlign w:val="center"/>
          </w:tcPr>
          <w:p w14:paraId="5558CD33">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71" w:type="dxa"/>
            <w:shd w:val="clear" w:color="auto" w:fill="auto"/>
            <w:tcMar>
              <w:top w:w="0" w:type="dxa"/>
              <w:left w:w="108" w:type="dxa"/>
              <w:bottom w:w="0" w:type="dxa"/>
              <w:right w:w="108" w:type="dxa"/>
            </w:tcMar>
            <w:vAlign w:val="center"/>
          </w:tcPr>
          <w:p w14:paraId="42917DF6">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bidi="ar-SA"/>
              </w:rPr>
            </w:pPr>
            <w:r>
              <w:rPr>
                <w:rFonts w:hint="default" w:ascii="宋体" w:hAnsi="宋体" w:cs="Times New Roman" w:eastAsiaTheme="minorEastAsia"/>
                <w:kern w:val="0"/>
                <w:sz w:val="24"/>
                <w:szCs w:val="24"/>
                <w:lang w:val="en-US" w:eastAsia="zh-CN"/>
              </w:rPr>
              <w:t>(0871)</w:t>
            </w:r>
            <w:r>
              <w:rPr>
                <w:rFonts w:hint="default" w:ascii="宋体" w:hAnsi="宋体" w:cs="Times New Roman" w:eastAsiaTheme="minorEastAsia"/>
                <w:kern w:val="0"/>
                <w:sz w:val="24"/>
                <w:szCs w:val="24"/>
              </w:rPr>
              <w:t>64167934</w:t>
            </w:r>
          </w:p>
        </w:tc>
        <w:tc>
          <w:tcPr>
            <w:tcW w:w="1377" w:type="dxa"/>
            <w:tcMar>
              <w:top w:w="0" w:type="dxa"/>
              <w:left w:w="108" w:type="dxa"/>
              <w:bottom w:w="0" w:type="dxa"/>
              <w:right w:w="108" w:type="dxa"/>
            </w:tcMar>
            <w:vAlign w:val="center"/>
          </w:tcPr>
          <w:p w14:paraId="5183D573">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E-mail</w:t>
            </w:r>
          </w:p>
        </w:tc>
        <w:tc>
          <w:tcPr>
            <w:tcW w:w="1882" w:type="dxa"/>
            <w:tcMar>
              <w:top w:w="0" w:type="dxa"/>
              <w:left w:w="108" w:type="dxa"/>
              <w:bottom w:w="0" w:type="dxa"/>
              <w:right w:w="108" w:type="dxa"/>
            </w:tcMar>
            <w:vAlign w:val="center"/>
          </w:tcPr>
          <w:p w14:paraId="37E6725E">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371103029@qq.com</w:t>
            </w:r>
          </w:p>
        </w:tc>
      </w:tr>
      <w:tr w14:paraId="66DB9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2134" w:type="dxa"/>
            <w:tcMar>
              <w:top w:w="0" w:type="dxa"/>
              <w:left w:w="108" w:type="dxa"/>
              <w:bottom w:w="0" w:type="dxa"/>
              <w:right w:w="108" w:type="dxa"/>
            </w:tcMar>
            <w:vAlign w:val="center"/>
          </w:tcPr>
          <w:p w14:paraId="3BD078B8">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p w14:paraId="0C3C726A">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简介</w:t>
            </w:r>
          </w:p>
        </w:tc>
        <w:tc>
          <w:tcPr>
            <w:tcW w:w="7020" w:type="dxa"/>
            <w:gridSpan w:val="5"/>
            <w:tcMar>
              <w:top w:w="0" w:type="dxa"/>
              <w:left w:w="108" w:type="dxa"/>
              <w:bottom w:w="0" w:type="dxa"/>
              <w:right w:w="108" w:type="dxa"/>
            </w:tcMar>
            <w:vAlign w:val="center"/>
          </w:tcPr>
          <w:p w14:paraId="0D879FA3">
            <w:pPr>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云南省水利水电科学研究院是云南省水利厅直属的公益性水利科研机构，1964年6月成立，位于云南省昆明市新闻路延长线五家堆下段，为县处级公益性事业单位，主要开展水利水电工程研究，促进科技发展。水科院在水利水电领域取得了显著的研究成果，拥有多项专利和著作权，截至2024年8月，拥有专利信息27（或28）条，著作权信息8条。水科院积极参与国内外水利水电科技信息交流，不断提升自身的科研水平和影响力。2021年4月，获得云南省脱贫攻坚先进集体荣誉称号。</w:t>
            </w:r>
          </w:p>
        </w:tc>
      </w:tr>
      <w:tr w14:paraId="5B95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04" w:hRule="atLeast"/>
          <w:jc w:val="center"/>
        </w:trPr>
        <w:tc>
          <w:tcPr>
            <w:tcW w:w="2134" w:type="dxa"/>
            <w:tcMar>
              <w:top w:w="0" w:type="dxa"/>
              <w:left w:w="108" w:type="dxa"/>
              <w:bottom w:w="0" w:type="dxa"/>
              <w:right w:w="108" w:type="dxa"/>
            </w:tcMar>
            <w:vAlign w:val="center"/>
          </w:tcPr>
          <w:p w14:paraId="0E9BC1C1">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w:t>
            </w:r>
          </w:p>
          <w:p w14:paraId="6B13B026">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简介</w:t>
            </w:r>
          </w:p>
        </w:tc>
        <w:tc>
          <w:tcPr>
            <w:tcW w:w="7020" w:type="dxa"/>
            <w:gridSpan w:val="5"/>
            <w:tcMar>
              <w:top w:w="0" w:type="dxa"/>
              <w:left w:w="108" w:type="dxa"/>
              <w:bottom w:w="0" w:type="dxa"/>
              <w:right w:w="108" w:type="dxa"/>
            </w:tcMar>
            <w:vAlign w:val="center"/>
          </w:tcPr>
          <w:p w14:paraId="21F7FB1A">
            <w:pPr>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firstLine="480" w:firstLineChars="200"/>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为解决现有土壤边坡支撑板其倾斜角度大都为固定的，当需要对不同倾斜度的岸边斜坡进行支撑时，则需要不同倾斜角度的支撑板，进而降低了水土保持的效果，增加了对水土保持的社会资金成本，降低了社会经济效益。为此，我们提出一种多功能水土保持效益评价装置用于解决上述问题。本装置包括调节机构、竖板、连接块、连接板、滑轨、横板、插杆等组成。使用时将装置放在支撑位置，将插杆插入土中固定横板，通过调节机构调节连接板的倾斜角度，从而便于对不同倾斜度的岸边斜坡进行支撑，进而提高了水土保持的效果，降低了对水土保持的社会资金成本，提高了社会经济效益。</w:t>
            </w:r>
          </w:p>
        </w:tc>
      </w:tr>
      <w:tr w14:paraId="5F280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47" w:hRule="atLeast"/>
          <w:jc w:val="center"/>
        </w:trPr>
        <w:tc>
          <w:tcPr>
            <w:tcW w:w="2134" w:type="dxa"/>
            <w:tcMar>
              <w:top w:w="0" w:type="dxa"/>
              <w:left w:w="108" w:type="dxa"/>
              <w:bottom w:w="0" w:type="dxa"/>
              <w:right w:w="108" w:type="dxa"/>
            </w:tcMar>
            <w:vAlign w:val="center"/>
          </w:tcPr>
          <w:p w14:paraId="0EFE8E13">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主要完成人</w:t>
            </w:r>
          </w:p>
        </w:tc>
        <w:tc>
          <w:tcPr>
            <w:tcW w:w="7020" w:type="dxa"/>
            <w:gridSpan w:val="5"/>
            <w:tcMar>
              <w:top w:w="0" w:type="dxa"/>
              <w:left w:w="108" w:type="dxa"/>
              <w:bottom w:w="0" w:type="dxa"/>
              <w:right w:w="108" w:type="dxa"/>
            </w:tcMar>
            <w:vAlign w:val="center"/>
          </w:tcPr>
          <w:p w14:paraId="6FBF5263">
            <w:pPr>
              <w:keepNext w:val="0"/>
              <w:keepLines w:val="0"/>
              <w:pageBreakBefore w:val="0"/>
              <w:widowControl/>
              <w:kinsoku/>
              <w:wordWrap/>
              <w:overflowPunct/>
              <w:topLinePunct w:val="0"/>
              <w:autoSpaceDE/>
              <w:autoSpaceDN/>
              <w:bidi w:val="0"/>
              <w:adjustRightInd/>
              <w:snapToGrid/>
              <w:spacing w:beforeAutospacing="0" w:afterAutospacing="0" w:line="440" w:lineRule="exact"/>
              <w:ind w:firstLine="113"/>
              <w:jc w:val="center"/>
              <w:textAlignment w:val="auto"/>
              <w:rPr>
                <w:rFonts w:hint="default" w:ascii="宋体" w:hAnsi="宋体" w:cs="Times New Roman" w:eastAsiaTheme="minorEastAsia"/>
                <w:spacing w:val="-6"/>
                <w:kern w:val="0"/>
                <w:sz w:val="24"/>
                <w:szCs w:val="24"/>
                <w:lang w:eastAsia="zh-CN"/>
              </w:rPr>
            </w:pPr>
            <w:r>
              <w:rPr>
                <w:rFonts w:hint="default" w:ascii="宋体" w:hAnsi="宋体" w:cs="Times New Roman" w:eastAsiaTheme="minorEastAsia"/>
                <w:kern w:val="0"/>
                <w:sz w:val="24"/>
                <w:szCs w:val="24"/>
                <w:lang w:val="en-US" w:eastAsia="zh-CN"/>
              </w:rPr>
              <w:t>李季孝、吴昊、刘冬黎、陶余铨、李海燕、丁剑宏、陈丽、王伟、童晓霞、周彦辰、李加顺、芮茂刚</w:t>
            </w:r>
          </w:p>
        </w:tc>
      </w:tr>
      <w:tr w14:paraId="1849D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09" w:hRule="atLeast"/>
          <w:jc w:val="center"/>
        </w:trPr>
        <w:tc>
          <w:tcPr>
            <w:tcW w:w="2134" w:type="dxa"/>
            <w:tcMar>
              <w:top w:w="0" w:type="dxa"/>
              <w:left w:w="108" w:type="dxa"/>
              <w:bottom w:w="0" w:type="dxa"/>
              <w:right w:w="108" w:type="dxa"/>
            </w:tcMar>
            <w:vAlign w:val="center"/>
          </w:tcPr>
          <w:p w14:paraId="3ED35E6F">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020" w:type="dxa"/>
            <w:gridSpan w:val="5"/>
            <w:tcMar>
              <w:top w:w="0" w:type="dxa"/>
              <w:left w:w="108" w:type="dxa"/>
              <w:bottom w:w="0" w:type="dxa"/>
              <w:right w:w="108" w:type="dxa"/>
            </w:tcMar>
            <w:vAlign w:val="center"/>
          </w:tcPr>
          <w:p w14:paraId="15CB71EC">
            <w:pPr>
              <w:keepNext w:val="0"/>
              <w:keepLines w:val="0"/>
              <w:pageBreakBefore w:val="0"/>
              <w:widowControl/>
              <w:kinsoku/>
              <w:wordWrap/>
              <w:overflowPunct/>
              <w:topLinePunct w:val="0"/>
              <w:autoSpaceDE/>
              <w:autoSpaceDN/>
              <w:bidi w:val="0"/>
              <w:adjustRightInd/>
              <w:snapToGrid/>
              <w:spacing w:beforeAutospacing="0" w:afterAutospacing="0" w:line="440" w:lineRule="exact"/>
              <w:ind w:right="96"/>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国家知识产权局依照中华人民共和国专利法经过初步审查，决定授予专利权，颁发实用新型专利证书并在专利登记簿上予以登记。专利号：ZL 2022 2 1906870.1，专利申请日：2022年7月20日，授权公告日：2022年12月13日，授权公告号：CN 218036815 U。（另附实用新型专利证书）</w:t>
            </w:r>
          </w:p>
        </w:tc>
      </w:tr>
      <w:tr w14:paraId="6B8E2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78" w:hRule="atLeast"/>
          <w:jc w:val="center"/>
        </w:trPr>
        <w:tc>
          <w:tcPr>
            <w:tcW w:w="2134" w:type="dxa"/>
            <w:tcMar>
              <w:top w:w="0" w:type="dxa"/>
              <w:left w:w="108" w:type="dxa"/>
              <w:bottom w:w="0" w:type="dxa"/>
              <w:right w:w="108" w:type="dxa"/>
            </w:tcMar>
            <w:vAlign w:val="center"/>
          </w:tcPr>
          <w:p w14:paraId="7600F0D9">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020" w:type="dxa"/>
            <w:gridSpan w:val="5"/>
            <w:tcMar>
              <w:top w:w="0" w:type="dxa"/>
              <w:left w:w="108" w:type="dxa"/>
              <w:bottom w:w="0" w:type="dxa"/>
              <w:right w:w="108" w:type="dxa"/>
            </w:tcMar>
            <w:vAlign w:val="center"/>
          </w:tcPr>
          <w:p w14:paraId="6DDA38B2">
            <w:pPr>
              <w:pStyle w:val="9"/>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宋体" w:hAnsi="宋体" w:cs="Times New Roman" w:eastAsiaTheme="minorEastAsia"/>
                <w:sz w:val="24"/>
                <w:szCs w:val="24"/>
              </w:rPr>
            </w:pPr>
            <w:r>
              <w:rPr>
                <w:rFonts w:hint="default" w:ascii="宋体" w:hAnsi="宋体" w:cs="Times New Roman" w:eastAsiaTheme="minorEastAsia"/>
                <w:kern w:val="0"/>
                <w:sz w:val="24"/>
                <w:szCs w:val="24"/>
                <w:lang w:val="en-US" w:eastAsia="zh-CN" w:bidi="ar-SA"/>
              </w:rPr>
              <w:t>适用于工程建设（设计）存在挖填边坡需要临时支撑的区域，重力侵蚀严重、滑坡等临时防护区域。</w:t>
            </w:r>
          </w:p>
        </w:tc>
      </w:tr>
      <w:tr w14:paraId="3456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90" w:hRule="atLeast"/>
          <w:jc w:val="center"/>
        </w:trPr>
        <w:tc>
          <w:tcPr>
            <w:tcW w:w="2134" w:type="dxa"/>
            <w:tcMar>
              <w:top w:w="0" w:type="dxa"/>
              <w:left w:w="108" w:type="dxa"/>
              <w:bottom w:w="0" w:type="dxa"/>
              <w:right w:w="108" w:type="dxa"/>
            </w:tcMar>
            <w:vAlign w:val="center"/>
          </w:tcPr>
          <w:p w14:paraId="50245EF1">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lef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020" w:type="dxa"/>
            <w:gridSpan w:val="5"/>
            <w:tcMar>
              <w:top w:w="0" w:type="dxa"/>
              <w:left w:w="108" w:type="dxa"/>
              <w:bottom w:w="0" w:type="dxa"/>
              <w:right w:w="108" w:type="dxa"/>
            </w:tcMar>
            <w:vAlign w:val="center"/>
          </w:tcPr>
          <w:p w14:paraId="766BCC93">
            <w:pPr>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bidi="ar-SA"/>
              </w:rPr>
              <w:t>本实用新型应用工程设计和工程建设中，能有效提高水土保持措施水土流失防治效果，实用性较强，应用场景较广，能有效降低水土流失治理成本。（另附实用新型专利说明书及应用证明）</w:t>
            </w:r>
          </w:p>
        </w:tc>
      </w:tr>
    </w:tbl>
    <w:p w14:paraId="61CAFE82">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15" w:name="_Toc15523"/>
      <w:r>
        <w:rPr>
          <w:rFonts w:hint="default" w:ascii="宋体" w:hAnsi="宋体" w:cs="Times New Roman"/>
          <w:sz w:val="28"/>
          <w:szCs w:val="28"/>
          <w:lang w:val="en-US" w:eastAsia="zh-CN"/>
        </w:rPr>
        <w:t>2.</w:t>
      </w:r>
      <w:r>
        <w:rPr>
          <w:rFonts w:hint="eastAsia" w:ascii="宋体" w:hAnsi="宋体" w:cs="Times New Roman"/>
          <w:sz w:val="28"/>
          <w:szCs w:val="28"/>
          <w:lang w:val="en-US" w:eastAsia="zh-CN"/>
        </w:rPr>
        <w:t>11</w:t>
      </w:r>
      <w:r>
        <w:rPr>
          <w:rFonts w:hint="default" w:ascii="宋体" w:hAnsi="宋体" w:cs="Times New Roman"/>
          <w:sz w:val="28"/>
          <w:szCs w:val="28"/>
          <w:lang w:val="en-US" w:eastAsia="zh-CN"/>
        </w:rPr>
        <w:t xml:space="preserve"> 一种可防止水土流失的排水渠</w:t>
      </w:r>
      <w:bookmarkEnd w:id="15"/>
    </w:p>
    <w:tbl>
      <w:tblPr>
        <w:tblStyle w:val="28"/>
        <w:tblW w:w="9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134"/>
        <w:gridCol w:w="1450"/>
        <w:gridCol w:w="740"/>
        <w:gridCol w:w="1693"/>
        <w:gridCol w:w="1255"/>
        <w:gridCol w:w="1882"/>
      </w:tblGrid>
      <w:tr w14:paraId="2D614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37A74FD7">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020" w:type="dxa"/>
            <w:gridSpan w:val="5"/>
            <w:tcMar>
              <w:top w:w="0" w:type="dxa"/>
              <w:left w:w="108" w:type="dxa"/>
              <w:bottom w:w="0" w:type="dxa"/>
              <w:right w:w="108" w:type="dxa"/>
            </w:tcMar>
            <w:vAlign w:val="center"/>
          </w:tcPr>
          <w:p w14:paraId="0FD85D8A">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一种可防止水土流失的排水渠</w:t>
            </w:r>
          </w:p>
        </w:tc>
      </w:tr>
      <w:tr w14:paraId="55CB8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19D4526F">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020" w:type="dxa"/>
            <w:gridSpan w:val="5"/>
            <w:tcMar>
              <w:top w:w="0" w:type="dxa"/>
              <w:left w:w="108" w:type="dxa"/>
              <w:bottom w:w="0" w:type="dxa"/>
              <w:right w:w="108" w:type="dxa"/>
            </w:tcMar>
            <w:vAlign w:val="center"/>
          </w:tcPr>
          <w:p w14:paraId="05D5EABB">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云南省水利水电科学研究院</w:t>
            </w:r>
          </w:p>
        </w:tc>
      </w:tr>
      <w:tr w14:paraId="064A5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47" w:hRule="exact"/>
          <w:jc w:val="center"/>
        </w:trPr>
        <w:tc>
          <w:tcPr>
            <w:tcW w:w="2134" w:type="dxa"/>
            <w:tcMar>
              <w:top w:w="0" w:type="dxa"/>
              <w:left w:w="108" w:type="dxa"/>
              <w:bottom w:w="0" w:type="dxa"/>
              <w:right w:w="108" w:type="dxa"/>
            </w:tcMar>
            <w:vAlign w:val="center"/>
          </w:tcPr>
          <w:p w14:paraId="403F3FDB">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3883" w:type="dxa"/>
            <w:gridSpan w:val="3"/>
            <w:tcMar>
              <w:top w:w="0" w:type="dxa"/>
              <w:left w:w="108" w:type="dxa"/>
              <w:bottom w:w="0" w:type="dxa"/>
              <w:right w:w="108" w:type="dxa"/>
            </w:tcMar>
            <w:vAlign w:val="center"/>
          </w:tcPr>
          <w:p w14:paraId="41B6E4B5">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云南省昆明市西山区新闻路南段五家堆</w:t>
            </w:r>
          </w:p>
        </w:tc>
        <w:tc>
          <w:tcPr>
            <w:tcW w:w="1255" w:type="dxa"/>
            <w:tcMar>
              <w:top w:w="0" w:type="dxa"/>
              <w:left w:w="108" w:type="dxa"/>
              <w:bottom w:w="0" w:type="dxa"/>
              <w:right w:w="108" w:type="dxa"/>
            </w:tcMar>
            <w:vAlign w:val="center"/>
          </w:tcPr>
          <w:p w14:paraId="7065A124">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882" w:type="dxa"/>
            <w:tcMar>
              <w:top w:w="0" w:type="dxa"/>
              <w:left w:w="108" w:type="dxa"/>
              <w:bottom w:w="0" w:type="dxa"/>
              <w:right w:w="108" w:type="dxa"/>
            </w:tcMar>
            <w:vAlign w:val="center"/>
          </w:tcPr>
          <w:p w14:paraId="63D42FB0">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650228</w:t>
            </w:r>
          </w:p>
        </w:tc>
      </w:tr>
      <w:tr w14:paraId="612C6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tcMar>
              <w:top w:w="0" w:type="dxa"/>
              <w:left w:w="108" w:type="dxa"/>
              <w:bottom w:w="0" w:type="dxa"/>
              <w:right w:w="108" w:type="dxa"/>
            </w:tcMar>
            <w:vAlign w:val="center"/>
          </w:tcPr>
          <w:p w14:paraId="300AC04C">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法人代表</w:t>
            </w:r>
          </w:p>
        </w:tc>
        <w:tc>
          <w:tcPr>
            <w:tcW w:w="1450" w:type="dxa"/>
            <w:tcMar>
              <w:top w:w="0" w:type="dxa"/>
              <w:left w:w="108" w:type="dxa"/>
              <w:bottom w:w="0" w:type="dxa"/>
              <w:right w:w="108" w:type="dxa"/>
            </w:tcMar>
            <w:vAlign w:val="center"/>
          </w:tcPr>
          <w:p w14:paraId="6D539F48">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张娴</w:t>
            </w:r>
          </w:p>
        </w:tc>
        <w:tc>
          <w:tcPr>
            <w:tcW w:w="740" w:type="dxa"/>
            <w:tcMar>
              <w:top w:w="0" w:type="dxa"/>
              <w:left w:w="108" w:type="dxa"/>
              <w:bottom w:w="0" w:type="dxa"/>
              <w:right w:w="108" w:type="dxa"/>
            </w:tcMar>
            <w:vAlign w:val="center"/>
          </w:tcPr>
          <w:p w14:paraId="50574B85">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val="en-US" w:eastAsia="zh-CN"/>
              </w:rPr>
              <w:t>职务</w:t>
            </w:r>
          </w:p>
        </w:tc>
        <w:tc>
          <w:tcPr>
            <w:tcW w:w="1693" w:type="dxa"/>
            <w:tcMar>
              <w:top w:w="0" w:type="dxa"/>
              <w:left w:w="108" w:type="dxa"/>
              <w:bottom w:w="0" w:type="dxa"/>
              <w:right w:w="108" w:type="dxa"/>
            </w:tcMar>
            <w:vAlign w:val="center"/>
          </w:tcPr>
          <w:p w14:paraId="4ED1F5F2">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院长</w:t>
            </w:r>
          </w:p>
        </w:tc>
        <w:tc>
          <w:tcPr>
            <w:tcW w:w="1255" w:type="dxa"/>
            <w:tcMar>
              <w:top w:w="0" w:type="dxa"/>
              <w:left w:w="108" w:type="dxa"/>
              <w:bottom w:w="0" w:type="dxa"/>
              <w:right w:w="108" w:type="dxa"/>
            </w:tcMar>
            <w:vAlign w:val="center"/>
          </w:tcPr>
          <w:p w14:paraId="5FFC333A">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val="en-US" w:eastAsia="zh-CN"/>
              </w:rPr>
              <w:t>电话</w:t>
            </w:r>
          </w:p>
        </w:tc>
        <w:tc>
          <w:tcPr>
            <w:tcW w:w="1882" w:type="dxa"/>
            <w:tcMar>
              <w:top w:w="0" w:type="dxa"/>
              <w:left w:w="108" w:type="dxa"/>
              <w:bottom w:w="0" w:type="dxa"/>
              <w:right w:w="108" w:type="dxa"/>
            </w:tcMar>
            <w:vAlign w:val="center"/>
          </w:tcPr>
          <w:p w14:paraId="379658A8">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(0871)64167934</w:t>
            </w:r>
          </w:p>
        </w:tc>
      </w:tr>
      <w:tr w14:paraId="0A131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7" w:hRule="exact"/>
          <w:jc w:val="center"/>
        </w:trPr>
        <w:tc>
          <w:tcPr>
            <w:tcW w:w="2134" w:type="dxa"/>
            <w:tcMar>
              <w:top w:w="0" w:type="dxa"/>
              <w:left w:w="108" w:type="dxa"/>
              <w:bottom w:w="0" w:type="dxa"/>
              <w:right w:w="108" w:type="dxa"/>
            </w:tcMar>
            <w:vAlign w:val="center"/>
          </w:tcPr>
          <w:p w14:paraId="3F166C7D">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450" w:type="dxa"/>
            <w:tcMar>
              <w:top w:w="0" w:type="dxa"/>
              <w:left w:w="108" w:type="dxa"/>
              <w:bottom w:w="0" w:type="dxa"/>
              <w:right w:w="108" w:type="dxa"/>
            </w:tcMar>
            <w:vAlign w:val="center"/>
          </w:tcPr>
          <w:p w14:paraId="6AB4821E">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吴昊</w:t>
            </w:r>
          </w:p>
        </w:tc>
        <w:tc>
          <w:tcPr>
            <w:tcW w:w="740" w:type="dxa"/>
            <w:tcMar>
              <w:top w:w="0" w:type="dxa"/>
              <w:left w:w="108" w:type="dxa"/>
              <w:bottom w:w="0" w:type="dxa"/>
              <w:right w:w="108" w:type="dxa"/>
            </w:tcMar>
            <w:vAlign w:val="center"/>
          </w:tcPr>
          <w:p w14:paraId="2B0C0321">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693" w:type="dxa"/>
            <w:shd w:val="clear" w:color="auto" w:fill="auto"/>
            <w:tcMar>
              <w:top w:w="0" w:type="dxa"/>
              <w:left w:w="108" w:type="dxa"/>
              <w:bottom w:w="0" w:type="dxa"/>
              <w:right w:w="108" w:type="dxa"/>
            </w:tcMar>
            <w:vAlign w:val="center"/>
          </w:tcPr>
          <w:p w14:paraId="7E664408">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bidi="ar-SA"/>
              </w:rPr>
            </w:pPr>
            <w:r>
              <w:rPr>
                <w:rFonts w:hint="default" w:ascii="宋体" w:hAnsi="宋体" w:cs="Times New Roman" w:eastAsiaTheme="minorEastAsia"/>
                <w:kern w:val="0"/>
                <w:sz w:val="24"/>
                <w:szCs w:val="24"/>
                <w:lang w:val="en-US" w:eastAsia="zh-CN"/>
              </w:rPr>
              <w:t>(0871)</w:t>
            </w:r>
            <w:r>
              <w:rPr>
                <w:rFonts w:hint="default" w:ascii="宋体" w:hAnsi="宋体" w:cs="Times New Roman" w:eastAsiaTheme="minorEastAsia"/>
                <w:kern w:val="0"/>
                <w:sz w:val="24"/>
                <w:szCs w:val="24"/>
              </w:rPr>
              <w:t>64167934</w:t>
            </w:r>
          </w:p>
        </w:tc>
        <w:tc>
          <w:tcPr>
            <w:tcW w:w="1255" w:type="dxa"/>
            <w:tcMar>
              <w:top w:w="0" w:type="dxa"/>
              <w:left w:w="108" w:type="dxa"/>
              <w:bottom w:w="0" w:type="dxa"/>
              <w:right w:w="108" w:type="dxa"/>
            </w:tcMar>
            <w:vAlign w:val="center"/>
          </w:tcPr>
          <w:p w14:paraId="2150F88C">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882" w:type="dxa"/>
            <w:tcMar>
              <w:top w:w="0" w:type="dxa"/>
              <w:left w:w="108" w:type="dxa"/>
              <w:bottom w:w="0" w:type="dxa"/>
              <w:right w:w="108" w:type="dxa"/>
            </w:tcMar>
            <w:vAlign w:val="center"/>
          </w:tcPr>
          <w:p w14:paraId="1651A1CA">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40274148@qq.</w:t>
            </w:r>
          </w:p>
          <w:p w14:paraId="53030F49">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com</w:t>
            </w:r>
          </w:p>
        </w:tc>
      </w:tr>
      <w:tr w14:paraId="5B3CD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60" w:hRule="atLeast"/>
          <w:jc w:val="center"/>
        </w:trPr>
        <w:tc>
          <w:tcPr>
            <w:tcW w:w="2134" w:type="dxa"/>
            <w:tcMar>
              <w:top w:w="0" w:type="dxa"/>
              <w:left w:w="108" w:type="dxa"/>
              <w:bottom w:w="0" w:type="dxa"/>
              <w:right w:w="108" w:type="dxa"/>
            </w:tcMar>
            <w:vAlign w:val="center"/>
          </w:tcPr>
          <w:p w14:paraId="27D75547">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p w14:paraId="5FFAE542">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简介</w:t>
            </w:r>
          </w:p>
        </w:tc>
        <w:tc>
          <w:tcPr>
            <w:tcW w:w="7020" w:type="dxa"/>
            <w:gridSpan w:val="5"/>
            <w:tcMar>
              <w:top w:w="0" w:type="dxa"/>
              <w:left w:w="108" w:type="dxa"/>
              <w:bottom w:w="0" w:type="dxa"/>
              <w:right w:w="108" w:type="dxa"/>
            </w:tcMar>
            <w:vAlign w:val="center"/>
          </w:tcPr>
          <w:p w14:paraId="793B514B">
            <w:pPr>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云南省水利水电科学研究院是云南省水利厅直属的公益性水利科研机构，1964年6月成立，位于云南省昆明市新闻路延长线五家堆下段，为县处级公益性事业单位，主要开展水利水电工程研究，促进科技发展。水科院在水利水电领域取得了显著的研究成果，拥有多项专利和著作权，截至2024年8月，拥有专利信息27（或28）条，著作权信息8条。水科院积极参与国内外水利水电科技信息交流，不断提升自身的科研水平和影响力。2021年4月，获得云南省脱贫攻坚先进集体荣誉称号。</w:t>
            </w:r>
          </w:p>
        </w:tc>
      </w:tr>
      <w:tr w14:paraId="45327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15" w:hRule="atLeast"/>
          <w:jc w:val="center"/>
        </w:trPr>
        <w:tc>
          <w:tcPr>
            <w:tcW w:w="2134" w:type="dxa"/>
            <w:tcMar>
              <w:top w:w="0" w:type="dxa"/>
              <w:left w:w="108" w:type="dxa"/>
              <w:bottom w:w="0" w:type="dxa"/>
              <w:right w:w="108" w:type="dxa"/>
            </w:tcMar>
            <w:vAlign w:val="center"/>
          </w:tcPr>
          <w:p w14:paraId="29D27860">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w:t>
            </w:r>
          </w:p>
          <w:p w14:paraId="11A77D2A">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简介</w:t>
            </w:r>
          </w:p>
        </w:tc>
        <w:tc>
          <w:tcPr>
            <w:tcW w:w="7020" w:type="dxa"/>
            <w:gridSpan w:val="5"/>
            <w:tcMar>
              <w:top w:w="0" w:type="dxa"/>
              <w:left w:w="108" w:type="dxa"/>
              <w:bottom w:w="0" w:type="dxa"/>
              <w:right w:w="108" w:type="dxa"/>
            </w:tcMar>
            <w:vAlign w:val="center"/>
          </w:tcPr>
          <w:p w14:paraId="7822AEFF">
            <w:pPr>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传统的排水渠在进行使用时，通常仅能对雨水或河水进行导流，无法对水渠附近的土壤进行加工，从而导致当降雨量多时，雨水会对水渠附近的土壤造成严重的冲刷，进而容易造成水渠附近的土壤流失严重，为此，提出一种可防止水土流失的排水渠。通过将水渠体铺设在水渠内，然后通过移动锚杆贯穿扩展板插入水渠体附近的土壤内，对水渠体附近的土壤进行加固，然后通过限位槽对护坡植物进行种植，通过设置的滤板使植物的根系可以顺利穿过，从而利用植物的根系对水渠体附近的土壤再次进行加固，进而提高了水渠体附近土壤的稳定性，避免了出现严重水土流失的现象，增加了对水渠附近环境的保护。</w:t>
            </w:r>
          </w:p>
        </w:tc>
      </w:tr>
      <w:tr w14:paraId="57278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36" w:hRule="atLeast"/>
          <w:jc w:val="center"/>
        </w:trPr>
        <w:tc>
          <w:tcPr>
            <w:tcW w:w="2134" w:type="dxa"/>
            <w:tcMar>
              <w:top w:w="0" w:type="dxa"/>
              <w:left w:w="108" w:type="dxa"/>
              <w:bottom w:w="0" w:type="dxa"/>
              <w:right w:w="108" w:type="dxa"/>
            </w:tcMar>
            <w:vAlign w:val="center"/>
          </w:tcPr>
          <w:p w14:paraId="36961DB9">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主要完成人</w:t>
            </w:r>
          </w:p>
        </w:tc>
        <w:tc>
          <w:tcPr>
            <w:tcW w:w="7020" w:type="dxa"/>
            <w:gridSpan w:val="5"/>
            <w:tcMar>
              <w:top w:w="0" w:type="dxa"/>
              <w:left w:w="108" w:type="dxa"/>
              <w:bottom w:w="0" w:type="dxa"/>
              <w:right w:w="108" w:type="dxa"/>
            </w:tcMar>
            <w:vAlign w:val="center"/>
          </w:tcPr>
          <w:p w14:paraId="574E2685">
            <w:pPr>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rPr>
                <w:rFonts w:hint="default" w:ascii="宋体" w:hAnsi="宋体" w:cs="Times New Roman" w:eastAsiaTheme="minorEastAsia"/>
                <w:spacing w:val="-6"/>
                <w:kern w:val="0"/>
                <w:sz w:val="24"/>
                <w:szCs w:val="24"/>
                <w:lang w:val="en-US" w:eastAsia="zh-CN"/>
              </w:rPr>
            </w:pPr>
            <w:r>
              <w:rPr>
                <w:rFonts w:hint="default" w:ascii="宋体" w:hAnsi="宋体" w:cs="Times New Roman" w:eastAsiaTheme="minorEastAsia"/>
                <w:spacing w:val="-6"/>
                <w:kern w:val="0"/>
                <w:sz w:val="24"/>
                <w:szCs w:val="24"/>
                <w:lang w:val="en-US" w:eastAsia="zh-CN"/>
              </w:rPr>
              <w:t>吴昊、李季孝、刘冬黎、解永翠、芮茂刚、谢淑彦、刘丽、王伟、周彦成、李海燕等</w:t>
            </w:r>
          </w:p>
        </w:tc>
      </w:tr>
      <w:tr w14:paraId="25FFF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2134" w:type="dxa"/>
            <w:tcMar>
              <w:top w:w="0" w:type="dxa"/>
              <w:left w:w="108" w:type="dxa"/>
              <w:bottom w:w="0" w:type="dxa"/>
              <w:right w:w="108" w:type="dxa"/>
            </w:tcMar>
            <w:vAlign w:val="center"/>
          </w:tcPr>
          <w:p w14:paraId="780497CA">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020" w:type="dxa"/>
            <w:gridSpan w:val="5"/>
            <w:tcMar>
              <w:top w:w="0" w:type="dxa"/>
              <w:left w:w="108" w:type="dxa"/>
              <w:bottom w:w="0" w:type="dxa"/>
              <w:right w:w="108" w:type="dxa"/>
            </w:tcMar>
            <w:vAlign w:val="center"/>
          </w:tcPr>
          <w:p w14:paraId="72B64E27">
            <w:pPr>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国家知识产权局依照中华人民共和国专利法经过初步审查，决定授予专利权，颁发实用新型专利证书并在专利登记簿上予以登记。专利号：ZL 2022 2 1823537.4，专利申请日：2022年7月14日，授权公告日：2022年12月2日，授权公告号：CN 217948647 U。（另附实用新型专利证书）</w:t>
            </w:r>
          </w:p>
        </w:tc>
      </w:tr>
      <w:tr w14:paraId="10DC0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03" w:hRule="atLeast"/>
          <w:jc w:val="center"/>
        </w:trPr>
        <w:tc>
          <w:tcPr>
            <w:tcW w:w="2134" w:type="dxa"/>
            <w:tcMar>
              <w:top w:w="0" w:type="dxa"/>
              <w:left w:w="108" w:type="dxa"/>
              <w:bottom w:w="0" w:type="dxa"/>
              <w:right w:w="108" w:type="dxa"/>
            </w:tcMar>
            <w:vAlign w:val="center"/>
          </w:tcPr>
          <w:p w14:paraId="4843E264">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020" w:type="dxa"/>
            <w:gridSpan w:val="5"/>
            <w:tcMar>
              <w:top w:w="0" w:type="dxa"/>
              <w:left w:w="108" w:type="dxa"/>
              <w:bottom w:w="0" w:type="dxa"/>
              <w:right w:w="108" w:type="dxa"/>
            </w:tcMar>
            <w:vAlign w:val="center"/>
          </w:tcPr>
          <w:p w14:paraId="43E4599C">
            <w:pPr>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rPr>
                <w:rFonts w:hint="default" w:ascii="宋体" w:hAnsi="宋体" w:cs="Times New Roman" w:eastAsiaTheme="minorEastAsia"/>
                <w:sz w:val="24"/>
                <w:szCs w:val="24"/>
              </w:rPr>
            </w:pPr>
            <w:r>
              <w:rPr>
                <w:rFonts w:hint="default" w:ascii="宋体" w:hAnsi="宋体" w:cs="Times New Roman" w:eastAsiaTheme="minorEastAsia"/>
                <w:kern w:val="0"/>
                <w:sz w:val="24"/>
                <w:szCs w:val="24"/>
                <w:lang w:val="en-US" w:eastAsia="zh-CN"/>
              </w:rPr>
              <w:t>适用于地面坡度大、土地利用不当、地面植被遭破坏、耕作技术不合理、土质松散、滥伐森林、过度放牧等，由于自然或人为因素影响、雨水不能就地消纳、顺势下流、冲刷土壤，造成水分和土壤同时流失的区域。</w:t>
            </w:r>
          </w:p>
        </w:tc>
      </w:tr>
      <w:tr w14:paraId="580DB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82" w:hRule="atLeast"/>
          <w:jc w:val="center"/>
        </w:trPr>
        <w:tc>
          <w:tcPr>
            <w:tcW w:w="2134" w:type="dxa"/>
            <w:tcMar>
              <w:top w:w="0" w:type="dxa"/>
              <w:left w:w="108" w:type="dxa"/>
              <w:bottom w:w="0" w:type="dxa"/>
              <w:right w:w="108" w:type="dxa"/>
            </w:tcMar>
            <w:vAlign w:val="center"/>
          </w:tcPr>
          <w:p w14:paraId="186056FC">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020" w:type="dxa"/>
            <w:gridSpan w:val="5"/>
            <w:tcMar>
              <w:top w:w="0" w:type="dxa"/>
              <w:left w:w="108" w:type="dxa"/>
              <w:bottom w:w="0" w:type="dxa"/>
              <w:right w:w="108" w:type="dxa"/>
            </w:tcMar>
            <w:vAlign w:val="center"/>
          </w:tcPr>
          <w:p w14:paraId="7D084267">
            <w:pPr>
              <w:keepNext w:val="0"/>
              <w:keepLines w:val="0"/>
              <w:pageBreakBefore w:val="0"/>
              <w:widowControl/>
              <w:kinsoku/>
              <w:wordWrap/>
              <w:overflowPunct/>
              <w:topLinePunct w:val="0"/>
              <w:autoSpaceDE/>
              <w:autoSpaceDN/>
              <w:bidi w:val="0"/>
              <w:adjustRightInd/>
              <w:snapToGrid/>
              <w:spacing w:beforeAutospacing="0" w:afterAutospacing="0" w:line="440" w:lineRule="exact"/>
              <w:jc w:val="left"/>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本实用技术涉及排水渠技术领域，特别涉及一种可防止水土流失的排水渠，以解决或缓解现有技术中存在的技术问题，至少提供有益的选择。（另附实用新型专利说明书及应用证明）</w:t>
            </w:r>
          </w:p>
        </w:tc>
      </w:tr>
    </w:tbl>
    <w:p w14:paraId="33F055A6">
      <w:pPr>
        <w:pStyle w:val="9"/>
        <w:rPr>
          <w:rFonts w:hint="default" w:ascii="宋体" w:hAnsi="宋体" w:cs="Times New Roman"/>
          <w:lang w:val="en-US" w:eastAsia="zh-CN"/>
        </w:rPr>
      </w:pPr>
    </w:p>
    <w:p w14:paraId="7D9DFFEC">
      <w:pPr>
        <w:pStyle w:val="3"/>
        <w:keepNext/>
        <w:keepLines/>
        <w:pageBreakBefore/>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cs="Times New Roman"/>
          <w:sz w:val="28"/>
          <w:szCs w:val="28"/>
          <w:lang w:val="en-US" w:eastAsia="zh-CN"/>
        </w:rPr>
      </w:pPr>
      <w:bookmarkStart w:id="16" w:name="_Toc466"/>
      <w:r>
        <w:rPr>
          <w:rFonts w:hint="default" w:ascii="宋体" w:hAnsi="宋体" w:cs="Times New Roman"/>
          <w:sz w:val="28"/>
          <w:szCs w:val="28"/>
          <w:lang w:val="en-US" w:eastAsia="zh-CN"/>
        </w:rPr>
        <w:t>先进技术（材料）</w:t>
      </w:r>
      <w:bookmarkEnd w:id="16"/>
    </w:p>
    <w:p w14:paraId="298D6833">
      <w:pPr>
        <w:pStyle w:val="4"/>
        <w:bidi w:val="0"/>
        <w:spacing w:line="240" w:lineRule="auto"/>
        <w:rPr>
          <w:rFonts w:hint="default" w:ascii="宋体" w:hAnsi="宋体" w:cs="Times New Roman"/>
          <w:sz w:val="28"/>
          <w:szCs w:val="28"/>
          <w:lang w:val="en-US" w:eastAsia="zh-CN"/>
        </w:rPr>
      </w:pPr>
      <w:bookmarkStart w:id="17" w:name="_Toc23715"/>
      <w:r>
        <w:rPr>
          <w:rFonts w:hint="default" w:ascii="宋体" w:hAnsi="宋体" w:cs="Times New Roman"/>
          <w:sz w:val="28"/>
          <w:szCs w:val="28"/>
          <w:lang w:val="en-US" w:eastAsia="zh-CN"/>
        </w:rPr>
        <w:t>3.1 云南农业水价综合改革关键技术</w:t>
      </w:r>
      <w:bookmarkEnd w:id="17"/>
    </w:p>
    <w:tbl>
      <w:tblPr>
        <w:tblStyle w:val="28"/>
        <w:tblW w:w="9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134"/>
        <w:gridCol w:w="1155"/>
        <w:gridCol w:w="831"/>
        <w:gridCol w:w="1615"/>
        <w:gridCol w:w="1228"/>
        <w:gridCol w:w="2191"/>
      </w:tblGrid>
      <w:tr w14:paraId="16E72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noWrap w:val="0"/>
            <w:tcMar>
              <w:top w:w="0" w:type="dxa"/>
              <w:left w:w="108" w:type="dxa"/>
              <w:bottom w:w="0" w:type="dxa"/>
              <w:right w:w="108" w:type="dxa"/>
            </w:tcMar>
            <w:vAlign w:val="center"/>
          </w:tcPr>
          <w:p w14:paraId="6A77080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zh-CN" w:bidi="ar-SA"/>
              </w:rPr>
              <w:br w:type="page"/>
            </w:r>
            <w:r>
              <w:rPr>
                <w:rFonts w:hint="default" w:ascii="宋体" w:hAnsi="宋体" w:eastAsia="宋体" w:cs="Times New Roman"/>
                <w:kern w:val="0"/>
                <w:sz w:val="24"/>
                <w:szCs w:val="24"/>
                <w:lang w:val="en-US" w:eastAsia="en-US" w:bidi="ar-SA"/>
              </w:rPr>
              <w:t>技术（产品）名称</w:t>
            </w:r>
          </w:p>
        </w:tc>
        <w:tc>
          <w:tcPr>
            <w:tcW w:w="7020" w:type="dxa"/>
            <w:gridSpan w:val="5"/>
            <w:noWrap w:val="0"/>
            <w:tcMar>
              <w:top w:w="0" w:type="dxa"/>
              <w:left w:w="108" w:type="dxa"/>
              <w:bottom w:w="0" w:type="dxa"/>
              <w:right w:w="108" w:type="dxa"/>
            </w:tcMar>
            <w:vAlign w:val="center"/>
          </w:tcPr>
          <w:p w14:paraId="242DDED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480" w:firstLineChars="20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云南农业水价综合改革关键技术</w:t>
            </w:r>
          </w:p>
        </w:tc>
      </w:tr>
      <w:tr w14:paraId="1319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noWrap w:val="0"/>
            <w:tcMar>
              <w:top w:w="0" w:type="dxa"/>
              <w:left w:w="108" w:type="dxa"/>
              <w:bottom w:w="0" w:type="dxa"/>
              <w:right w:w="108" w:type="dxa"/>
            </w:tcMar>
            <w:vAlign w:val="center"/>
          </w:tcPr>
          <w:p w14:paraId="76719E7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持有单位</w:t>
            </w:r>
          </w:p>
        </w:tc>
        <w:tc>
          <w:tcPr>
            <w:tcW w:w="7020" w:type="dxa"/>
            <w:gridSpan w:val="5"/>
            <w:noWrap w:val="0"/>
            <w:tcMar>
              <w:top w:w="0" w:type="dxa"/>
              <w:left w:w="108" w:type="dxa"/>
              <w:bottom w:w="0" w:type="dxa"/>
              <w:right w:w="108" w:type="dxa"/>
            </w:tcMar>
            <w:vAlign w:val="center"/>
          </w:tcPr>
          <w:p w14:paraId="2EB770A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480" w:firstLineChars="20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云南省水利水电科学研究院</w:t>
            </w:r>
          </w:p>
        </w:tc>
      </w:tr>
      <w:tr w14:paraId="76146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2" w:hRule="exact"/>
          <w:jc w:val="center"/>
        </w:trPr>
        <w:tc>
          <w:tcPr>
            <w:tcW w:w="2134" w:type="dxa"/>
            <w:noWrap w:val="0"/>
            <w:tcMar>
              <w:top w:w="0" w:type="dxa"/>
              <w:left w:w="108" w:type="dxa"/>
              <w:bottom w:w="0" w:type="dxa"/>
              <w:right w:w="108" w:type="dxa"/>
            </w:tcMar>
            <w:vAlign w:val="center"/>
          </w:tcPr>
          <w:p w14:paraId="049FE7B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单位地址</w:t>
            </w:r>
          </w:p>
        </w:tc>
        <w:tc>
          <w:tcPr>
            <w:tcW w:w="3601" w:type="dxa"/>
            <w:gridSpan w:val="3"/>
            <w:noWrap w:val="0"/>
            <w:tcMar>
              <w:top w:w="0" w:type="dxa"/>
              <w:left w:w="108" w:type="dxa"/>
              <w:bottom w:w="0" w:type="dxa"/>
              <w:right w:w="108" w:type="dxa"/>
            </w:tcMar>
            <w:vAlign w:val="center"/>
          </w:tcPr>
          <w:p w14:paraId="4B977F3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480" w:firstLineChars="20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昆明市西山区庾园路五家堆111号</w:t>
            </w:r>
          </w:p>
        </w:tc>
        <w:tc>
          <w:tcPr>
            <w:tcW w:w="1228" w:type="dxa"/>
            <w:noWrap w:val="0"/>
            <w:tcMar>
              <w:top w:w="0" w:type="dxa"/>
              <w:left w:w="108" w:type="dxa"/>
              <w:bottom w:w="0" w:type="dxa"/>
              <w:right w:w="108" w:type="dxa"/>
            </w:tcMar>
            <w:vAlign w:val="center"/>
          </w:tcPr>
          <w:p w14:paraId="130C929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邮政编码</w:t>
            </w:r>
          </w:p>
        </w:tc>
        <w:tc>
          <w:tcPr>
            <w:tcW w:w="2191" w:type="dxa"/>
            <w:noWrap w:val="0"/>
            <w:tcMar>
              <w:top w:w="0" w:type="dxa"/>
              <w:left w:w="108" w:type="dxa"/>
              <w:bottom w:w="0" w:type="dxa"/>
              <w:right w:w="108" w:type="dxa"/>
            </w:tcMar>
            <w:vAlign w:val="center"/>
          </w:tcPr>
          <w:p w14:paraId="676F212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480" w:firstLineChars="20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650228</w:t>
            </w:r>
          </w:p>
        </w:tc>
      </w:tr>
      <w:tr w14:paraId="3F71F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exact"/>
          <w:jc w:val="center"/>
        </w:trPr>
        <w:tc>
          <w:tcPr>
            <w:tcW w:w="2134" w:type="dxa"/>
            <w:noWrap w:val="0"/>
            <w:tcMar>
              <w:top w:w="0" w:type="dxa"/>
              <w:left w:w="108" w:type="dxa"/>
              <w:bottom w:w="0" w:type="dxa"/>
              <w:right w:w="108" w:type="dxa"/>
            </w:tcMar>
            <w:vAlign w:val="center"/>
          </w:tcPr>
          <w:p w14:paraId="59E85E5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法人代表</w:t>
            </w:r>
          </w:p>
        </w:tc>
        <w:tc>
          <w:tcPr>
            <w:tcW w:w="1155" w:type="dxa"/>
            <w:noWrap w:val="0"/>
            <w:tcMar>
              <w:top w:w="0" w:type="dxa"/>
              <w:left w:w="108" w:type="dxa"/>
              <w:bottom w:w="0" w:type="dxa"/>
              <w:right w:w="108" w:type="dxa"/>
            </w:tcMar>
            <w:vAlign w:val="center"/>
          </w:tcPr>
          <w:p w14:paraId="7CBDD98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张娴</w:t>
            </w:r>
          </w:p>
        </w:tc>
        <w:tc>
          <w:tcPr>
            <w:tcW w:w="831" w:type="dxa"/>
            <w:noWrap w:val="0"/>
            <w:tcMar>
              <w:top w:w="0" w:type="dxa"/>
              <w:left w:w="108" w:type="dxa"/>
              <w:bottom w:w="0" w:type="dxa"/>
              <w:right w:w="108" w:type="dxa"/>
            </w:tcMar>
            <w:vAlign w:val="center"/>
          </w:tcPr>
          <w:p w14:paraId="2ED0B0D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职务</w:t>
            </w:r>
          </w:p>
        </w:tc>
        <w:tc>
          <w:tcPr>
            <w:tcW w:w="1615" w:type="dxa"/>
            <w:noWrap w:val="0"/>
            <w:tcMar>
              <w:top w:w="0" w:type="dxa"/>
              <w:left w:w="108" w:type="dxa"/>
              <w:bottom w:w="0" w:type="dxa"/>
              <w:right w:w="108" w:type="dxa"/>
            </w:tcMar>
            <w:vAlign w:val="center"/>
          </w:tcPr>
          <w:p w14:paraId="1FC7F03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480" w:firstLineChars="20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院长</w:t>
            </w:r>
          </w:p>
        </w:tc>
        <w:tc>
          <w:tcPr>
            <w:tcW w:w="1228" w:type="dxa"/>
            <w:noWrap w:val="0"/>
            <w:tcMar>
              <w:top w:w="0" w:type="dxa"/>
              <w:left w:w="108" w:type="dxa"/>
              <w:bottom w:w="0" w:type="dxa"/>
              <w:right w:w="108" w:type="dxa"/>
            </w:tcMar>
            <w:vAlign w:val="center"/>
          </w:tcPr>
          <w:p w14:paraId="37EB007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电话</w:t>
            </w:r>
          </w:p>
        </w:tc>
        <w:tc>
          <w:tcPr>
            <w:tcW w:w="2191" w:type="dxa"/>
            <w:noWrap w:val="0"/>
            <w:tcMar>
              <w:top w:w="0" w:type="dxa"/>
              <w:left w:w="108" w:type="dxa"/>
              <w:bottom w:w="0" w:type="dxa"/>
              <w:right w:w="108" w:type="dxa"/>
            </w:tcMar>
            <w:vAlign w:val="center"/>
          </w:tcPr>
          <w:p w14:paraId="70ADB7D9">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eastAsia="宋体" w:cs="Times New Roman"/>
                <w:kern w:val="0"/>
                <w:sz w:val="24"/>
                <w:szCs w:val="24"/>
                <w:lang w:val="en-US" w:eastAsia="zh-CN" w:bidi="ar-SA"/>
              </w:rPr>
            </w:pPr>
            <w:r>
              <w:rPr>
                <w:rFonts w:hint="default" w:ascii="宋体" w:hAnsi="宋体" w:cs="Times New Roman" w:eastAsiaTheme="minorEastAsia"/>
                <w:kern w:val="0"/>
                <w:sz w:val="24"/>
                <w:szCs w:val="24"/>
                <w:lang w:val="en-US" w:eastAsia="zh-CN"/>
              </w:rPr>
              <w:t>(0871)</w:t>
            </w:r>
            <w:r>
              <w:rPr>
                <w:rFonts w:hint="default" w:ascii="宋体" w:hAnsi="宋体" w:cs="Times New Roman" w:eastAsiaTheme="minorEastAsia"/>
                <w:kern w:val="0"/>
                <w:sz w:val="24"/>
                <w:szCs w:val="24"/>
              </w:rPr>
              <w:t>64167934</w:t>
            </w:r>
          </w:p>
        </w:tc>
      </w:tr>
      <w:tr w14:paraId="3A89C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2" w:hRule="exact"/>
          <w:jc w:val="center"/>
        </w:trPr>
        <w:tc>
          <w:tcPr>
            <w:tcW w:w="2134" w:type="dxa"/>
            <w:noWrap w:val="0"/>
            <w:tcMar>
              <w:top w:w="0" w:type="dxa"/>
              <w:left w:w="108" w:type="dxa"/>
              <w:bottom w:w="0" w:type="dxa"/>
              <w:right w:w="108" w:type="dxa"/>
            </w:tcMar>
            <w:vAlign w:val="center"/>
          </w:tcPr>
          <w:p w14:paraId="1B86C91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联系人</w:t>
            </w:r>
          </w:p>
        </w:tc>
        <w:tc>
          <w:tcPr>
            <w:tcW w:w="1155" w:type="dxa"/>
            <w:noWrap w:val="0"/>
            <w:tcMar>
              <w:top w:w="0" w:type="dxa"/>
              <w:left w:w="108" w:type="dxa"/>
              <w:bottom w:w="0" w:type="dxa"/>
              <w:right w:w="108" w:type="dxa"/>
            </w:tcMar>
            <w:vAlign w:val="center"/>
          </w:tcPr>
          <w:p w14:paraId="41CF898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闵军</w:t>
            </w:r>
          </w:p>
        </w:tc>
        <w:tc>
          <w:tcPr>
            <w:tcW w:w="831" w:type="dxa"/>
            <w:noWrap w:val="0"/>
            <w:tcMar>
              <w:top w:w="0" w:type="dxa"/>
              <w:left w:w="108" w:type="dxa"/>
              <w:bottom w:w="0" w:type="dxa"/>
              <w:right w:w="108" w:type="dxa"/>
            </w:tcMar>
            <w:vAlign w:val="center"/>
          </w:tcPr>
          <w:p w14:paraId="4970BC6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电话</w:t>
            </w:r>
          </w:p>
        </w:tc>
        <w:tc>
          <w:tcPr>
            <w:tcW w:w="1615" w:type="dxa"/>
            <w:shd w:val="clear" w:color="auto" w:fill="auto"/>
            <w:noWrap w:val="0"/>
            <w:tcMar>
              <w:top w:w="0" w:type="dxa"/>
              <w:left w:w="108" w:type="dxa"/>
              <w:bottom w:w="0" w:type="dxa"/>
              <w:right w:w="108" w:type="dxa"/>
            </w:tcMar>
            <w:vAlign w:val="center"/>
          </w:tcPr>
          <w:p w14:paraId="63D16901">
            <w:pPr>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rPr>
                <w:rFonts w:hint="default" w:ascii="宋体" w:hAnsi="宋体" w:cs="Times New Roman" w:eastAsiaTheme="minorEastAsia"/>
                <w:kern w:val="0"/>
                <w:sz w:val="24"/>
                <w:szCs w:val="24"/>
                <w:lang w:val="en-US" w:eastAsia="zh-CN" w:bidi="ar-SA"/>
              </w:rPr>
            </w:pPr>
            <w:r>
              <w:rPr>
                <w:rFonts w:hint="default" w:ascii="宋体" w:hAnsi="宋体" w:cs="Times New Roman" w:eastAsiaTheme="minorEastAsia"/>
                <w:kern w:val="0"/>
                <w:sz w:val="24"/>
                <w:szCs w:val="24"/>
                <w:lang w:val="en-US" w:eastAsia="zh-CN"/>
              </w:rPr>
              <w:t>(0871)</w:t>
            </w:r>
            <w:r>
              <w:rPr>
                <w:rFonts w:hint="default" w:ascii="宋体" w:hAnsi="宋体" w:cs="Times New Roman" w:eastAsiaTheme="minorEastAsia"/>
                <w:kern w:val="0"/>
                <w:sz w:val="24"/>
                <w:szCs w:val="24"/>
              </w:rPr>
              <w:t>64167934</w:t>
            </w:r>
          </w:p>
        </w:tc>
        <w:tc>
          <w:tcPr>
            <w:tcW w:w="1228" w:type="dxa"/>
            <w:noWrap w:val="0"/>
            <w:tcMar>
              <w:top w:w="0" w:type="dxa"/>
              <w:left w:w="108" w:type="dxa"/>
              <w:bottom w:w="0" w:type="dxa"/>
              <w:right w:w="108" w:type="dxa"/>
            </w:tcMar>
            <w:vAlign w:val="center"/>
          </w:tcPr>
          <w:p w14:paraId="03DD740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E-mail</w:t>
            </w:r>
          </w:p>
        </w:tc>
        <w:tc>
          <w:tcPr>
            <w:tcW w:w="2191" w:type="dxa"/>
            <w:noWrap w:val="0"/>
            <w:tcMar>
              <w:top w:w="0" w:type="dxa"/>
              <w:left w:w="108" w:type="dxa"/>
              <w:bottom w:w="0" w:type="dxa"/>
              <w:right w:w="108" w:type="dxa"/>
            </w:tcMar>
            <w:vAlign w:val="center"/>
          </w:tcPr>
          <w:p w14:paraId="52DA177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right="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minjuny@foxmail.com</w:t>
            </w:r>
          </w:p>
        </w:tc>
      </w:tr>
      <w:tr w14:paraId="3A694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96" w:hRule="atLeast"/>
          <w:jc w:val="center"/>
        </w:trPr>
        <w:tc>
          <w:tcPr>
            <w:tcW w:w="2134" w:type="dxa"/>
            <w:noWrap w:val="0"/>
            <w:tcMar>
              <w:top w:w="0" w:type="dxa"/>
              <w:left w:w="108" w:type="dxa"/>
              <w:bottom w:w="0" w:type="dxa"/>
              <w:right w:w="108" w:type="dxa"/>
            </w:tcMar>
            <w:vAlign w:val="center"/>
          </w:tcPr>
          <w:p w14:paraId="2CA4736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持有单位简介</w:t>
            </w:r>
          </w:p>
        </w:tc>
        <w:tc>
          <w:tcPr>
            <w:tcW w:w="7020" w:type="dxa"/>
            <w:gridSpan w:val="5"/>
            <w:noWrap w:val="0"/>
            <w:tcMar>
              <w:top w:w="0" w:type="dxa"/>
              <w:left w:w="108" w:type="dxa"/>
              <w:bottom w:w="0" w:type="dxa"/>
              <w:right w:w="108" w:type="dxa"/>
            </w:tcMar>
            <w:vAlign w:val="center"/>
          </w:tcPr>
          <w:p w14:paraId="4899A19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zh-CN" w:bidi="ar-SA"/>
              </w:rPr>
              <w:t>云南省水利水电科学研究院（简称“水科院”），为专业从事水利科学技术研究的公益一类事业单位。省水科院开展农村水利、水资源节约与保护、水生态环境、水旱灾害防御、水利建设管理与改革、高原特色作物高效节水灌溉等方面的基础科学研究；承担省重大水利规划、水利问题和水利中心工作等技术支撑服务工作；推进水利科技创新及成果转化，开展水利科技成果的后续试验、研发和应用；推动发展新产业，引进、推广和示范全省水利行业新技术、新材料、新产品；承担水利科学技术普及，促进水利科技创新和科学普及协同发展；研究水文化，促进水文化传播与弘扬，推动水文化与治水实践相融合。省水科院建有“高原立体气候条件作物需水云南省野外科学观测研究站”科技创新平台，建成云南省灌溉试验研究“一站多点”站网体系。</w:t>
            </w:r>
          </w:p>
        </w:tc>
      </w:tr>
      <w:tr w14:paraId="3499E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53" w:hRule="atLeast"/>
          <w:jc w:val="center"/>
        </w:trPr>
        <w:tc>
          <w:tcPr>
            <w:tcW w:w="2134" w:type="dxa"/>
            <w:noWrap w:val="0"/>
            <w:tcMar>
              <w:top w:w="0" w:type="dxa"/>
              <w:left w:w="108" w:type="dxa"/>
              <w:bottom w:w="0" w:type="dxa"/>
              <w:right w:w="108" w:type="dxa"/>
            </w:tcMar>
            <w:vAlign w:val="center"/>
          </w:tcPr>
          <w:p w14:paraId="0AEF0A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技术（产品）简介</w:t>
            </w:r>
          </w:p>
        </w:tc>
        <w:tc>
          <w:tcPr>
            <w:tcW w:w="7020" w:type="dxa"/>
            <w:gridSpan w:val="5"/>
            <w:noWrap w:val="0"/>
            <w:tcMar>
              <w:top w:w="0" w:type="dxa"/>
              <w:left w:w="108" w:type="dxa"/>
              <w:bottom w:w="0" w:type="dxa"/>
              <w:right w:w="108" w:type="dxa"/>
            </w:tcMar>
            <w:vAlign w:val="center"/>
          </w:tcPr>
          <w:p w14:paraId="76A987E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基于《农业水价综合改革及农村人饮管理制度研究》等云南省发改</w:t>
            </w:r>
            <w:r>
              <w:rPr>
                <w:rFonts w:hint="default"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水利等省级行业专项研究，开展了云南省农业水价现状的调研及问题诊断，建立了六项农业水价综合改革机制，提出了临界水价定价方法，构建了定性和定量相结合的农业水价综合改革评价指标体系</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形成了具有云南高原山区特色的农业水价综合改革模式。主要创新</w:t>
            </w:r>
            <w:r>
              <w:rPr>
                <w:rFonts w:hint="default" w:ascii="宋体" w:hAnsi="宋体" w:eastAsia="宋体" w:cs="Times New Roman"/>
                <w:kern w:val="0"/>
                <w:sz w:val="24"/>
                <w:szCs w:val="24"/>
                <w:lang w:val="en-US" w:eastAsia="zh-CN" w:bidi="ar-SA"/>
              </w:rPr>
              <w:t>成果有</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 xml:space="preserve"> 1.基于云南水价改革</w:t>
            </w:r>
            <w:r>
              <w:rPr>
                <w:rFonts w:hint="default" w:ascii="宋体" w:hAnsi="宋体" w:eastAsia="宋体" w:cs="Times New Roman"/>
                <w:kern w:val="0"/>
                <w:sz w:val="24"/>
                <w:szCs w:val="24"/>
                <w:lang w:val="en-US" w:eastAsia="zh-CN" w:bidi="ar-SA"/>
              </w:rPr>
              <w:t>实践及新形势要求的</w:t>
            </w:r>
            <w:r>
              <w:rPr>
                <w:rFonts w:hint="default" w:ascii="宋体" w:hAnsi="宋体" w:eastAsia="宋体" w:cs="Times New Roman"/>
                <w:kern w:val="0"/>
                <w:sz w:val="24"/>
                <w:szCs w:val="24"/>
                <w:lang w:val="en-US" w:eastAsia="en-US" w:bidi="ar-SA"/>
              </w:rPr>
              <w:t>农业水价综合改革六项机制</w:t>
            </w:r>
            <w:r>
              <w:rPr>
                <w:rFonts w:hint="default" w:ascii="宋体" w:hAnsi="宋体" w:eastAsia="宋体" w:cs="Times New Roman"/>
                <w:kern w:val="0"/>
                <w:sz w:val="24"/>
                <w:szCs w:val="24"/>
                <w:lang w:val="en-US" w:eastAsia="zh-CN" w:bidi="ar-SA"/>
              </w:rPr>
              <w:t>建设</w:t>
            </w:r>
            <w:r>
              <w:rPr>
                <w:rFonts w:hint="default" w:ascii="宋体" w:hAnsi="宋体" w:eastAsia="宋体" w:cs="Times New Roman"/>
                <w:kern w:val="0"/>
                <w:sz w:val="24"/>
                <w:szCs w:val="24"/>
                <w:lang w:val="en-US" w:eastAsia="en-US" w:bidi="ar-SA"/>
              </w:rPr>
              <w:t>模式。 2.农业水价临界水价定价方法。临界水价定价方法考虑了当前灌区现代化建设的现实需要，并且与当前金融支持水利建设、专项债用于水利建设、社会资本积极参与水利建设的政策措施紧密结合，充分考虑了农业供水和供水主体灌溉服务的边际成本变化，分析测算出更接近实际生产成本的临界水价。 3.农业水价改革评价指标体系构建。按定性与定量指标相结合，建立</w:t>
            </w:r>
            <w:r>
              <w:rPr>
                <w:rFonts w:hint="default" w:ascii="宋体" w:hAnsi="宋体" w:eastAsia="宋体" w:cs="Times New Roman"/>
                <w:kern w:val="0"/>
                <w:sz w:val="24"/>
                <w:szCs w:val="24"/>
                <w:lang w:val="en-US" w:eastAsia="zh-CN" w:bidi="ar-SA"/>
              </w:rPr>
              <w:t>了</w:t>
            </w:r>
            <w:r>
              <w:rPr>
                <w:rFonts w:hint="default" w:ascii="宋体" w:hAnsi="宋体" w:eastAsia="宋体" w:cs="Times New Roman"/>
                <w:kern w:val="0"/>
                <w:sz w:val="24"/>
                <w:szCs w:val="24"/>
                <w:lang w:val="en-US" w:eastAsia="en-US" w:bidi="ar-SA"/>
              </w:rPr>
              <w:t xml:space="preserve">云南省多元化多层次农业水价综合改革指标体系。定性指标包括县域改革领导小组、初始水权分配等八项指标；定量评价指标包括改革面积完成率、计量设施配套率、取水许可证办理率等十一项指标。并提出不同分区评价指标阈值和综合评价。 </w:t>
            </w:r>
          </w:p>
        </w:tc>
      </w:tr>
      <w:tr w14:paraId="3B96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6" w:hRule="atLeast"/>
          <w:jc w:val="center"/>
        </w:trPr>
        <w:tc>
          <w:tcPr>
            <w:tcW w:w="2134" w:type="dxa"/>
            <w:noWrap w:val="0"/>
            <w:tcMar>
              <w:top w:w="0" w:type="dxa"/>
              <w:left w:w="108" w:type="dxa"/>
              <w:bottom w:w="0" w:type="dxa"/>
              <w:right w:w="108" w:type="dxa"/>
            </w:tcMar>
            <w:vAlign w:val="center"/>
          </w:tcPr>
          <w:p w14:paraId="0191583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right="0"/>
              <w:jc w:val="center"/>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主要完成人</w:t>
            </w:r>
          </w:p>
        </w:tc>
        <w:tc>
          <w:tcPr>
            <w:tcW w:w="7020" w:type="dxa"/>
            <w:gridSpan w:val="5"/>
            <w:noWrap w:val="0"/>
            <w:tcMar>
              <w:top w:w="0" w:type="dxa"/>
              <w:left w:w="108" w:type="dxa"/>
              <w:bottom w:w="0" w:type="dxa"/>
              <w:right w:w="108" w:type="dxa"/>
            </w:tcMar>
            <w:vAlign w:val="center"/>
          </w:tcPr>
          <w:p w14:paraId="0C85BA4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right="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张娴、张云峰、闵军、李中华、戴向前、方迪、马华安、周飞、何辉、李丕清、刘啸、周彩霞、谭德裕、赵荐芳、俞婷</w:t>
            </w:r>
          </w:p>
        </w:tc>
      </w:tr>
      <w:tr w14:paraId="0949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76" w:hRule="atLeast"/>
          <w:jc w:val="center"/>
        </w:trPr>
        <w:tc>
          <w:tcPr>
            <w:tcW w:w="2134" w:type="dxa"/>
            <w:noWrap w:val="0"/>
            <w:tcMar>
              <w:top w:w="0" w:type="dxa"/>
              <w:left w:w="108" w:type="dxa"/>
              <w:bottom w:w="0" w:type="dxa"/>
              <w:right w:w="108" w:type="dxa"/>
            </w:tcMar>
            <w:vAlign w:val="center"/>
          </w:tcPr>
          <w:p w14:paraId="204D14E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鉴定认证、专利与获奖情况等</w:t>
            </w:r>
          </w:p>
        </w:tc>
        <w:tc>
          <w:tcPr>
            <w:tcW w:w="7020" w:type="dxa"/>
            <w:gridSpan w:val="5"/>
            <w:noWrap w:val="0"/>
            <w:tcMar>
              <w:top w:w="0" w:type="dxa"/>
              <w:left w:w="108" w:type="dxa"/>
              <w:bottom w:w="0" w:type="dxa"/>
              <w:right w:w="108" w:type="dxa"/>
            </w:tcMar>
            <w:vAlign w:val="center"/>
          </w:tcPr>
          <w:p w14:paraId="4862A05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项目</w:t>
            </w:r>
            <w:r>
              <w:rPr>
                <w:rFonts w:hint="default" w:ascii="宋体" w:hAnsi="宋体" w:eastAsia="宋体" w:cs="Times New Roman"/>
                <w:kern w:val="0"/>
                <w:sz w:val="24"/>
                <w:szCs w:val="24"/>
                <w:lang w:val="en-US" w:eastAsia="zh-CN" w:bidi="ar-SA"/>
              </w:rPr>
              <w:t>成果已获得成果鉴定认证，基于项目成果</w:t>
            </w:r>
            <w:r>
              <w:rPr>
                <w:rFonts w:hint="default" w:ascii="宋体" w:hAnsi="宋体" w:eastAsia="宋体" w:cs="Times New Roman"/>
                <w:kern w:val="0"/>
                <w:sz w:val="24"/>
                <w:szCs w:val="24"/>
                <w:lang w:val="en-US" w:eastAsia="en-US" w:bidi="ar-SA"/>
              </w:rPr>
              <w:t>获得软件著作权1项，出版专著1本，发表论文 16 篇，制定省水利厅编印的技术文本3项，完成水价改革专项技术报告8项。</w:t>
            </w:r>
          </w:p>
        </w:tc>
      </w:tr>
      <w:tr w14:paraId="6A6CE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04" w:hRule="atLeast"/>
          <w:jc w:val="center"/>
        </w:trPr>
        <w:tc>
          <w:tcPr>
            <w:tcW w:w="2134" w:type="dxa"/>
            <w:noWrap w:val="0"/>
            <w:tcMar>
              <w:top w:w="0" w:type="dxa"/>
              <w:left w:w="108" w:type="dxa"/>
              <w:bottom w:w="0" w:type="dxa"/>
              <w:right w:w="108" w:type="dxa"/>
            </w:tcMar>
            <w:vAlign w:val="center"/>
          </w:tcPr>
          <w:p w14:paraId="2432A8A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适用范围</w:t>
            </w:r>
          </w:p>
        </w:tc>
        <w:tc>
          <w:tcPr>
            <w:tcW w:w="7020" w:type="dxa"/>
            <w:gridSpan w:val="5"/>
            <w:noWrap w:val="0"/>
            <w:tcMar>
              <w:top w:w="0" w:type="dxa"/>
              <w:left w:w="108" w:type="dxa"/>
              <w:bottom w:w="0" w:type="dxa"/>
              <w:right w:w="108" w:type="dxa"/>
            </w:tcMar>
            <w:vAlign w:val="center"/>
          </w:tcPr>
          <w:p w14:paraId="39DA7FA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zh-CN" w:bidi="ar-SA"/>
              </w:rPr>
              <w:t>适用于大、中、小型灌区建设及改造、高效节水灌溉、高标准农田、烟水项目等涉及农业水价改革及机制植入的农田水利项目的前期规划设计及建设运营。</w:t>
            </w:r>
          </w:p>
        </w:tc>
      </w:tr>
      <w:tr w14:paraId="4CFED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5" w:hRule="atLeast"/>
          <w:jc w:val="center"/>
        </w:trPr>
        <w:tc>
          <w:tcPr>
            <w:tcW w:w="2134" w:type="dxa"/>
            <w:noWrap w:val="0"/>
            <w:tcMar>
              <w:top w:w="0" w:type="dxa"/>
              <w:left w:w="108" w:type="dxa"/>
              <w:bottom w:w="0" w:type="dxa"/>
              <w:right w:w="108" w:type="dxa"/>
            </w:tcMar>
            <w:vAlign w:val="center"/>
          </w:tcPr>
          <w:p w14:paraId="23BC4AC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right="0"/>
              <w:jc w:val="center"/>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应用工程及效益</w:t>
            </w:r>
          </w:p>
        </w:tc>
        <w:tc>
          <w:tcPr>
            <w:tcW w:w="7020" w:type="dxa"/>
            <w:gridSpan w:val="5"/>
            <w:noWrap w:val="0"/>
            <w:tcMar>
              <w:top w:w="0" w:type="dxa"/>
              <w:left w:w="108" w:type="dxa"/>
              <w:bottom w:w="0" w:type="dxa"/>
              <w:right w:w="108" w:type="dxa"/>
            </w:tcMar>
            <w:vAlign w:val="center"/>
          </w:tcPr>
          <w:p w14:paraId="6B475AC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en-US" w:bidi="ar-SA"/>
              </w:rPr>
            </w:pPr>
            <w:r>
              <w:rPr>
                <w:rFonts w:hint="default" w:ascii="宋体" w:hAnsi="宋体" w:eastAsia="宋体" w:cs="Times New Roman"/>
                <w:kern w:val="0"/>
                <w:sz w:val="24"/>
                <w:szCs w:val="24"/>
                <w:lang w:val="en-US" w:eastAsia="en-US" w:bidi="ar-SA"/>
              </w:rPr>
              <w:t>一是农业水价综合改革六项机制建立模式在元谋大型灌区、宾川大型灌区、澄江龙街高西小型灌区、陆良恨虎坝中型灌区、嵩明大型灌区、泸西桃园坝子及山口中型灌区、华坪县和古城区等灌区（或县级）农业水价综合改革中得到广泛应用。二是临界水价定价方法在昭通市73万亩苹果基地水价测算中得到了应用。三是农业水价综合改革效果评价指标体系在全省2017年、2018年度农业水价综合改革工作绩效评价中得到了应用。</w:t>
            </w:r>
            <w:r>
              <w:rPr>
                <w:rFonts w:hint="default" w:ascii="宋体" w:hAnsi="宋体" w:eastAsia="宋体" w:cs="Times New Roman"/>
                <w:kern w:val="0"/>
                <w:sz w:val="24"/>
                <w:szCs w:val="24"/>
                <w:lang w:val="en-US" w:eastAsia="zh-CN" w:bidi="ar-SA"/>
              </w:rPr>
              <w:t>成果</w:t>
            </w:r>
            <w:r>
              <w:rPr>
                <w:rFonts w:hint="default" w:ascii="宋体" w:hAnsi="宋体" w:eastAsia="宋体" w:cs="Times New Roman"/>
                <w:kern w:val="0"/>
                <w:sz w:val="24"/>
                <w:szCs w:val="24"/>
                <w:lang w:val="en-US" w:eastAsia="en-US" w:bidi="ar-SA"/>
              </w:rPr>
              <w:t>已在曲靖、楚雄、昆明、昭通、大理等州</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市</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en-US" w:bidi="ar-SA"/>
              </w:rPr>
              <w:t>农业水价综合改革中推广应用，吸引了多家企业参与农田水利项目的融资、建设和管理，为灌区节水减排、群众增收及乡村振兴提供了很好的技术支撑，社会经济和生态环境效益显著</w:t>
            </w:r>
            <w:r>
              <w:rPr>
                <w:rFonts w:hint="default" w:ascii="宋体" w:hAnsi="宋体" w:eastAsia="宋体" w:cs="Times New Roman"/>
                <w:kern w:val="0"/>
                <w:sz w:val="24"/>
                <w:szCs w:val="24"/>
                <w:lang w:val="en-US" w:eastAsia="zh-CN" w:bidi="ar-SA"/>
              </w:rPr>
              <w:t>。</w:t>
            </w:r>
          </w:p>
        </w:tc>
      </w:tr>
    </w:tbl>
    <w:p w14:paraId="4C42639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p>
    <w:p w14:paraId="5B658191">
      <w:pPr>
        <w:pStyle w:val="4"/>
        <w:bidi w:val="0"/>
        <w:spacing w:line="240" w:lineRule="auto"/>
        <w:rPr>
          <w:rFonts w:hint="default" w:ascii="宋体" w:hAnsi="宋体" w:cs="Times New Roman"/>
          <w:sz w:val="28"/>
          <w:szCs w:val="28"/>
          <w:lang w:val="en-US" w:eastAsia="zh-CN"/>
        </w:rPr>
      </w:pPr>
      <w:bookmarkStart w:id="18" w:name="_Toc3651"/>
      <w:r>
        <w:rPr>
          <w:rFonts w:hint="default" w:ascii="宋体" w:hAnsi="宋体" w:cs="Times New Roman"/>
          <w:sz w:val="28"/>
          <w:szCs w:val="28"/>
          <w:lang w:val="en-US" w:eastAsia="zh-CN"/>
        </w:rPr>
        <w:t>3.2 单向排气排水土工膜</w:t>
      </w:r>
      <w:bookmarkEnd w:id="18"/>
    </w:p>
    <w:tbl>
      <w:tblPr>
        <w:tblStyle w:val="28"/>
        <w:tblW w:w="931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016"/>
        <w:gridCol w:w="1505"/>
        <w:gridCol w:w="709"/>
        <w:gridCol w:w="1559"/>
        <w:gridCol w:w="1276"/>
        <w:gridCol w:w="2249"/>
      </w:tblGrid>
      <w:tr w14:paraId="6D1A9B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16" w:type="dxa"/>
            <w:tcBorders>
              <w:tl2br w:val="nil"/>
              <w:tr2bl w:val="nil"/>
            </w:tcBorders>
            <w:tcMar>
              <w:top w:w="0" w:type="dxa"/>
              <w:left w:w="108" w:type="dxa"/>
              <w:bottom w:w="0" w:type="dxa"/>
              <w:right w:w="108" w:type="dxa"/>
            </w:tcMar>
            <w:vAlign w:val="center"/>
          </w:tcPr>
          <w:p w14:paraId="31AD11E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298" w:type="dxa"/>
            <w:gridSpan w:val="5"/>
            <w:tcBorders>
              <w:tl2br w:val="nil"/>
              <w:tr2bl w:val="nil"/>
            </w:tcBorders>
            <w:tcMar>
              <w:top w:w="0" w:type="dxa"/>
              <w:left w:w="108" w:type="dxa"/>
              <w:bottom w:w="0" w:type="dxa"/>
              <w:right w:w="108" w:type="dxa"/>
            </w:tcMar>
            <w:vAlign w:val="center"/>
          </w:tcPr>
          <w:p w14:paraId="45EDA70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单向排气排水土工膜</w:t>
            </w:r>
          </w:p>
        </w:tc>
      </w:tr>
      <w:tr w14:paraId="2E9A2B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16" w:type="dxa"/>
            <w:tcBorders>
              <w:tl2br w:val="nil"/>
              <w:tr2bl w:val="nil"/>
            </w:tcBorders>
            <w:tcMar>
              <w:top w:w="0" w:type="dxa"/>
              <w:left w:w="108" w:type="dxa"/>
              <w:bottom w:w="0" w:type="dxa"/>
              <w:right w:w="108" w:type="dxa"/>
            </w:tcMar>
            <w:vAlign w:val="center"/>
          </w:tcPr>
          <w:p w14:paraId="230DE97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298" w:type="dxa"/>
            <w:gridSpan w:val="5"/>
            <w:tcBorders>
              <w:tl2br w:val="nil"/>
              <w:tr2bl w:val="nil"/>
            </w:tcBorders>
            <w:tcMar>
              <w:top w:w="0" w:type="dxa"/>
              <w:left w:w="108" w:type="dxa"/>
              <w:bottom w:w="0" w:type="dxa"/>
              <w:right w:w="108" w:type="dxa"/>
            </w:tcMar>
            <w:vAlign w:val="center"/>
          </w:tcPr>
          <w:p w14:paraId="2030B40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rPr>
              <w:t>衡水道一工程材料有限公司</w:t>
            </w:r>
          </w:p>
        </w:tc>
      </w:tr>
      <w:tr w14:paraId="41F6FC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16" w:type="dxa"/>
            <w:tcBorders>
              <w:tl2br w:val="nil"/>
              <w:tr2bl w:val="nil"/>
            </w:tcBorders>
            <w:tcMar>
              <w:top w:w="0" w:type="dxa"/>
              <w:left w:w="108" w:type="dxa"/>
              <w:bottom w:w="0" w:type="dxa"/>
              <w:right w:w="108" w:type="dxa"/>
            </w:tcMar>
            <w:vAlign w:val="center"/>
          </w:tcPr>
          <w:p w14:paraId="4899C4A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3773" w:type="dxa"/>
            <w:gridSpan w:val="3"/>
            <w:tcBorders>
              <w:tl2br w:val="nil"/>
              <w:tr2bl w:val="nil"/>
            </w:tcBorders>
            <w:tcMar>
              <w:top w:w="0" w:type="dxa"/>
              <w:left w:w="108" w:type="dxa"/>
              <w:bottom w:w="0" w:type="dxa"/>
              <w:right w:w="108" w:type="dxa"/>
            </w:tcMar>
            <w:vAlign w:val="center"/>
          </w:tcPr>
          <w:p w14:paraId="6977FCB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河北省衡水市景县工业区</w:t>
            </w:r>
          </w:p>
        </w:tc>
        <w:tc>
          <w:tcPr>
            <w:tcW w:w="1276" w:type="dxa"/>
            <w:tcBorders>
              <w:tl2br w:val="nil"/>
              <w:tr2bl w:val="nil"/>
            </w:tcBorders>
            <w:tcMar>
              <w:top w:w="0" w:type="dxa"/>
              <w:left w:w="108" w:type="dxa"/>
              <w:bottom w:w="0" w:type="dxa"/>
              <w:right w:w="108" w:type="dxa"/>
            </w:tcMar>
            <w:vAlign w:val="center"/>
          </w:tcPr>
          <w:p w14:paraId="542E7B4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2249" w:type="dxa"/>
            <w:tcBorders>
              <w:tl2br w:val="nil"/>
              <w:tr2bl w:val="nil"/>
            </w:tcBorders>
            <w:tcMar>
              <w:top w:w="0" w:type="dxa"/>
              <w:left w:w="108" w:type="dxa"/>
              <w:bottom w:w="0" w:type="dxa"/>
              <w:right w:w="108" w:type="dxa"/>
            </w:tcMar>
            <w:vAlign w:val="center"/>
          </w:tcPr>
          <w:p w14:paraId="54DCE8C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053500</w:t>
            </w:r>
          </w:p>
        </w:tc>
      </w:tr>
      <w:tr w14:paraId="221CEB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16" w:type="dxa"/>
            <w:tcBorders>
              <w:tl2br w:val="nil"/>
              <w:tr2bl w:val="nil"/>
            </w:tcBorders>
            <w:tcMar>
              <w:top w:w="0" w:type="dxa"/>
              <w:left w:w="108" w:type="dxa"/>
              <w:bottom w:w="0" w:type="dxa"/>
              <w:right w:w="108" w:type="dxa"/>
            </w:tcMar>
            <w:vAlign w:val="center"/>
          </w:tcPr>
          <w:p w14:paraId="412FBC3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法人代表</w:t>
            </w:r>
          </w:p>
        </w:tc>
        <w:tc>
          <w:tcPr>
            <w:tcW w:w="1505" w:type="dxa"/>
            <w:tcBorders>
              <w:tl2br w:val="nil"/>
              <w:tr2bl w:val="nil"/>
            </w:tcBorders>
            <w:tcMar>
              <w:top w:w="0" w:type="dxa"/>
              <w:left w:w="108" w:type="dxa"/>
              <w:bottom w:w="0" w:type="dxa"/>
              <w:right w:w="108" w:type="dxa"/>
            </w:tcMar>
            <w:vAlign w:val="center"/>
          </w:tcPr>
          <w:p w14:paraId="08800A6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崔菲菲</w:t>
            </w:r>
          </w:p>
        </w:tc>
        <w:tc>
          <w:tcPr>
            <w:tcW w:w="709" w:type="dxa"/>
            <w:tcBorders>
              <w:tl2br w:val="nil"/>
              <w:tr2bl w:val="nil"/>
            </w:tcBorders>
            <w:tcMar>
              <w:top w:w="0" w:type="dxa"/>
              <w:left w:w="108" w:type="dxa"/>
              <w:bottom w:w="0" w:type="dxa"/>
              <w:right w:w="108" w:type="dxa"/>
            </w:tcMar>
            <w:vAlign w:val="center"/>
          </w:tcPr>
          <w:p w14:paraId="1FD88D5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职务</w:t>
            </w:r>
          </w:p>
        </w:tc>
        <w:tc>
          <w:tcPr>
            <w:tcW w:w="1559" w:type="dxa"/>
            <w:tcBorders>
              <w:tl2br w:val="nil"/>
              <w:tr2bl w:val="nil"/>
            </w:tcBorders>
            <w:tcMar>
              <w:top w:w="0" w:type="dxa"/>
              <w:left w:w="108" w:type="dxa"/>
              <w:bottom w:w="0" w:type="dxa"/>
              <w:right w:w="108" w:type="dxa"/>
            </w:tcMar>
            <w:vAlign w:val="center"/>
          </w:tcPr>
          <w:p w14:paraId="1003E56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总经理</w:t>
            </w:r>
          </w:p>
        </w:tc>
        <w:tc>
          <w:tcPr>
            <w:tcW w:w="1276" w:type="dxa"/>
            <w:tcBorders>
              <w:tl2br w:val="nil"/>
              <w:tr2bl w:val="nil"/>
            </w:tcBorders>
            <w:tcMar>
              <w:top w:w="0" w:type="dxa"/>
              <w:left w:w="108" w:type="dxa"/>
              <w:bottom w:w="0" w:type="dxa"/>
              <w:right w:w="108" w:type="dxa"/>
            </w:tcMar>
            <w:vAlign w:val="center"/>
          </w:tcPr>
          <w:p w14:paraId="79EC4AC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2249" w:type="dxa"/>
            <w:tcBorders>
              <w:tl2br w:val="nil"/>
              <w:tr2bl w:val="nil"/>
            </w:tcBorders>
            <w:shd w:val="clear" w:color="auto" w:fill="auto"/>
            <w:tcMar>
              <w:top w:w="0" w:type="dxa"/>
              <w:left w:w="108" w:type="dxa"/>
              <w:bottom w:w="0" w:type="dxa"/>
              <w:right w:w="108" w:type="dxa"/>
            </w:tcMar>
            <w:vAlign w:val="center"/>
          </w:tcPr>
          <w:p w14:paraId="00D2753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lang w:val="en-US" w:eastAsia="zh-CN" w:bidi="ar-SA"/>
              </w:rPr>
            </w:pPr>
            <w:r>
              <w:rPr>
                <w:rFonts w:hint="eastAsia" w:ascii="宋体" w:hAnsi="宋体" w:cs="Times New Roman"/>
                <w:kern w:val="0"/>
                <w:sz w:val="24"/>
                <w:szCs w:val="24"/>
                <w:lang w:val="en-US" w:eastAsia="zh-CN"/>
              </w:rPr>
              <w:t>0318-4398765</w:t>
            </w:r>
          </w:p>
        </w:tc>
      </w:tr>
      <w:tr w14:paraId="0E765B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16" w:type="dxa"/>
            <w:tcBorders>
              <w:tl2br w:val="nil"/>
              <w:tr2bl w:val="nil"/>
            </w:tcBorders>
            <w:tcMar>
              <w:top w:w="0" w:type="dxa"/>
              <w:left w:w="108" w:type="dxa"/>
              <w:bottom w:w="0" w:type="dxa"/>
              <w:right w:w="108" w:type="dxa"/>
            </w:tcMar>
            <w:vAlign w:val="center"/>
          </w:tcPr>
          <w:p w14:paraId="64D54F8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505" w:type="dxa"/>
            <w:tcBorders>
              <w:tl2br w:val="nil"/>
              <w:tr2bl w:val="nil"/>
            </w:tcBorders>
            <w:tcMar>
              <w:top w:w="0" w:type="dxa"/>
              <w:left w:w="108" w:type="dxa"/>
              <w:bottom w:w="0" w:type="dxa"/>
              <w:right w:w="108" w:type="dxa"/>
            </w:tcMar>
            <w:vAlign w:val="center"/>
          </w:tcPr>
          <w:p w14:paraId="7F20093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高武刚</w:t>
            </w:r>
          </w:p>
        </w:tc>
        <w:tc>
          <w:tcPr>
            <w:tcW w:w="709" w:type="dxa"/>
            <w:tcBorders>
              <w:tl2br w:val="nil"/>
              <w:tr2bl w:val="nil"/>
            </w:tcBorders>
            <w:tcMar>
              <w:top w:w="0" w:type="dxa"/>
              <w:left w:w="108" w:type="dxa"/>
              <w:bottom w:w="0" w:type="dxa"/>
              <w:right w:w="108" w:type="dxa"/>
            </w:tcMar>
            <w:vAlign w:val="center"/>
          </w:tcPr>
          <w:p w14:paraId="5EB19EE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59" w:type="dxa"/>
            <w:tcBorders>
              <w:tl2br w:val="nil"/>
              <w:tr2bl w:val="nil"/>
            </w:tcBorders>
            <w:tcMar>
              <w:top w:w="0" w:type="dxa"/>
              <w:left w:w="108" w:type="dxa"/>
              <w:bottom w:w="0" w:type="dxa"/>
              <w:right w:w="108" w:type="dxa"/>
            </w:tcMar>
            <w:vAlign w:val="center"/>
          </w:tcPr>
          <w:p w14:paraId="23CFA6A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eastAsia" w:ascii="宋体" w:hAnsi="宋体" w:cs="Times New Roman"/>
                <w:kern w:val="0"/>
                <w:sz w:val="24"/>
                <w:szCs w:val="24"/>
                <w:lang w:val="en-US" w:eastAsia="zh-CN"/>
              </w:rPr>
              <w:t>0318-4398765</w:t>
            </w:r>
          </w:p>
        </w:tc>
        <w:tc>
          <w:tcPr>
            <w:tcW w:w="1276" w:type="dxa"/>
            <w:tcBorders>
              <w:tl2br w:val="nil"/>
              <w:tr2bl w:val="nil"/>
            </w:tcBorders>
            <w:tcMar>
              <w:top w:w="0" w:type="dxa"/>
              <w:left w:w="108" w:type="dxa"/>
              <w:bottom w:w="0" w:type="dxa"/>
              <w:right w:w="108" w:type="dxa"/>
            </w:tcMar>
            <w:vAlign w:val="center"/>
          </w:tcPr>
          <w:p w14:paraId="347516F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2249" w:type="dxa"/>
            <w:tcBorders>
              <w:tl2br w:val="nil"/>
              <w:tr2bl w:val="nil"/>
            </w:tcBorders>
            <w:tcMar>
              <w:top w:w="0" w:type="dxa"/>
              <w:left w:w="108" w:type="dxa"/>
              <w:bottom w:w="0" w:type="dxa"/>
              <w:right w:w="108" w:type="dxa"/>
            </w:tcMar>
            <w:vAlign w:val="center"/>
          </w:tcPr>
          <w:p w14:paraId="6EE594F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863908003@qq.com</w:t>
            </w:r>
          </w:p>
        </w:tc>
      </w:tr>
      <w:tr w14:paraId="0A1095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016" w:type="dxa"/>
            <w:tcBorders>
              <w:tl2br w:val="nil"/>
              <w:tr2bl w:val="nil"/>
            </w:tcBorders>
            <w:tcMar>
              <w:top w:w="0" w:type="dxa"/>
              <w:left w:w="108" w:type="dxa"/>
              <w:bottom w:w="0" w:type="dxa"/>
              <w:right w:w="108" w:type="dxa"/>
            </w:tcMar>
            <w:vAlign w:val="center"/>
          </w:tcPr>
          <w:p w14:paraId="68EF9AF7">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298" w:type="dxa"/>
            <w:gridSpan w:val="5"/>
            <w:tcBorders>
              <w:tl2br w:val="nil"/>
              <w:tr2bl w:val="nil"/>
            </w:tcBorders>
            <w:tcMar>
              <w:top w:w="0" w:type="dxa"/>
              <w:left w:w="108" w:type="dxa"/>
              <w:bottom w:w="0" w:type="dxa"/>
              <w:right w:w="108" w:type="dxa"/>
            </w:tcMar>
            <w:vAlign w:val="center"/>
          </w:tcPr>
          <w:p w14:paraId="30E0094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衡水道一工程材料有限公司成立于2016年8月，是高新技术企业。</w:t>
            </w:r>
          </w:p>
          <w:p w14:paraId="00EEBE8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主营：防淤堵逆止阀、生态植被网垫、土石笼袋、单向排气排水土工膜、逆止阀检修更换专用水下机器人。</w:t>
            </w:r>
          </w:p>
          <w:p w14:paraId="3C59AF3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主要方向：解决渠道防渗衬砌结构地下水泄压、水库胀气及寒区冻融冻胀难题。</w:t>
            </w:r>
          </w:p>
          <w:p w14:paraId="329D84F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与中国水利水电科学研究院、黑龙江省水利科学院、河北省水利科学研究院、成都理工大学等多个科研单位合作，获两项《雄安新区水资源资源保障能力技术支撑推荐短名单》，国家专利四十余项。</w:t>
            </w:r>
          </w:p>
        </w:tc>
      </w:tr>
      <w:tr w14:paraId="5C704E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016" w:type="dxa"/>
            <w:tcBorders>
              <w:tl2br w:val="nil"/>
              <w:tr2bl w:val="nil"/>
            </w:tcBorders>
            <w:tcMar>
              <w:top w:w="0" w:type="dxa"/>
              <w:left w:w="108" w:type="dxa"/>
              <w:bottom w:w="0" w:type="dxa"/>
              <w:right w:w="108" w:type="dxa"/>
            </w:tcMar>
            <w:vAlign w:val="center"/>
          </w:tcPr>
          <w:p w14:paraId="0BF17429">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7298" w:type="dxa"/>
            <w:gridSpan w:val="5"/>
            <w:tcBorders>
              <w:tl2br w:val="nil"/>
              <w:tr2bl w:val="nil"/>
            </w:tcBorders>
            <w:tcMar>
              <w:top w:w="0" w:type="dxa"/>
              <w:left w:w="108" w:type="dxa"/>
              <w:bottom w:w="0" w:type="dxa"/>
              <w:right w:w="108" w:type="dxa"/>
            </w:tcMar>
            <w:vAlign w:val="center"/>
          </w:tcPr>
          <w:p w14:paraId="1081547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来源：在防渗土工膜的基础上，按规律设置微型防淤堵逆止阀，使防渗膜保持防渗的同时，将膜下的水、胀气通过单向逆止阀排出，因其为一体结构，能够卷曲成卷，方便施工。</w:t>
            </w:r>
          </w:p>
          <w:p w14:paraId="5840BAA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特点：防渗、集水、单向排气、排水、加筋，整体结构，施工便捷，降低工程成本。</w:t>
            </w:r>
          </w:p>
          <w:p w14:paraId="025102F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功能：</w:t>
            </w:r>
            <w:r>
              <w:rPr>
                <w:rFonts w:hint="eastAsia" w:ascii="宋体" w:hAnsi="宋体" w:eastAsia="宋体" w:cs="Times New Roman"/>
                <w:kern w:val="0"/>
                <w:sz w:val="24"/>
                <w:szCs w:val="24"/>
                <w:lang w:val="en-US" w:eastAsia="zh-CN" w:bidi="ar-SA"/>
              </w:rPr>
              <w:t>排除</w:t>
            </w:r>
            <w:r>
              <w:rPr>
                <w:rFonts w:hint="default" w:ascii="宋体" w:hAnsi="宋体" w:eastAsia="宋体" w:cs="Times New Roman"/>
                <w:kern w:val="0"/>
                <w:sz w:val="24"/>
                <w:szCs w:val="24"/>
                <w:lang w:val="en-US" w:eastAsia="zh-CN" w:bidi="ar-SA"/>
              </w:rPr>
              <w:t>基底高地下水、地下胀气，平衡结构稳定。</w:t>
            </w:r>
          </w:p>
          <w:p w14:paraId="68418D9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指标：外观，单向阀向下排水，阀高度≤40mm，凸点高度≥5mm；</w:t>
            </w:r>
          </w:p>
          <w:p w14:paraId="187C3D3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防淤积：水位差2cm～5cm，单向阀开启，5--200KPa水压作用下保持60min，逆向无渗漏。</w:t>
            </w:r>
          </w:p>
          <w:p w14:paraId="6A08DAD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强度：阀整体耐压≥9kN，膜纵断裂强度≥9kN/m（可定制范围广），耐静水压≥1.0MPa，凸点芯板压屈强度≥8Mpa，阀门材质高韧ABS，密封膜片材质不锈钢与硅胶合成体。</w:t>
            </w:r>
          </w:p>
          <w:p w14:paraId="2C0D150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排水量：20cm水位差≥5L/min，50cm水位差≥25L/min，纵向通水量150kpa≥3L/（m.min）。</w:t>
            </w:r>
          </w:p>
        </w:tc>
      </w:tr>
      <w:tr w14:paraId="34FC1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016" w:type="dxa"/>
            <w:tcBorders>
              <w:tl2br w:val="nil"/>
              <w:tr2bl w:val="nil"/>
            </w:tcBorders>
            <w:tcMar>
              <w:top w:w="0" w:type="dxa"/>
              <w:left w:w="108" w:type="dxa"/>
              <w:bottom w:w="0" w:type="dxa"/>
              <w:right w:w="108" w:type="dxa"/>
            </w:tcMar>
            <w:vAlign w:val="center"/>
          </w:tcPr>
          <w:p w14:paraId="049C50FD">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主要完成人</w:t>
            </w:r>
          </w:p>
        </w:tc>
        <w:tc>
          <w:tcPr>
            <w:tcW w:w="7298" w:type="dxa"/>
            <w:gridSpan w:val="5"/>
            <w:tcBorders>
              <w:tl2br w:val="nil"/>
              <w:tr2bl w:val="nil"/>
            </w:tcBorders>
            <w:tcMar>
              <w:top w:w="0" w:type="dxa"/>
              <w:left w:w="108" w:type="dxa"/>
              <w:bottom w:w="0" w:type="dxa"/>
              <w:right w:w="108" w:type="dxa"/>
            </w:tcMar>
            <w:vAlign w:val="center"/>
          </w:tcPr>
          <w:p w14:paraId="6978B47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高武刚、马敬、李建强、张胜东、于沭、杨泽慧、王红肖、万康飞、沐润标、杨燕、谢祚楷、刘鹏义、苗书芳、张娜</w:t>
            </w:r>
          </w:p>
        </w:tc>
      </w:tr>
      <w:tr w14:paraId="6DB383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016" w:type="dxa"/>
            <w:tcBorders>
              <w:tl2br w:val="nil"/>
              <w:tr2bl w:val="nil"/>
            </w:tcBorders>
            <w:tcMar>
              <w:top w:w="0" w:type="dxa"/>
              <w:left w:w="108" w:type="dxa"/>
              <w:bottom w:w="0" w:type="dxa"/>
              <w:right w:w="108" w:type="dxa"/>
            </w:tcMar>
            <w:vAlign w:val="center"/>
          </w:tcPr>
          <w:p w14:paraId="2B75A3EA">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298" w:type="dxa"/>
            <w:gridSpan w:val="5"/>
            <w:tcBorders>
              <w:tl2br w:val="nil"/>
              <w:tr2bl w:val="nil"/>
            </w:tcBorders>
            <w:tcMar>
              <w:top w:w="0" w:type="dxa"/>
              <w:left w:w="108" w:type="dxa"/>
              <w:bottom w:w="0" w:type="dxa"/>
              <w:right w:w="108" w:type="dxa"/>
            </w:tcMar>
            <w:vAlign w:val="center"/>
          </w:tcPr>
          <w:p w14:paraId="58ED1FC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获得相关专利10项，其中发明专利1项，实用新型8项</w:t>
            </w:r>
          </w:p>
          <w:p w14:paraId="5199F2D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获得水利部《2024年度水利先进实用技术重点推广指导目录》通过了第三方试验数据的检测。</w:t>
            </w:r>
          </w:p>
        </w:tc>
      </w:tr>
      <w:tr w14:paraId="2D62E7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016" w:type="dxa"/>
            <w:tcBorders>
              <w:tl2br w:val="nil"/>
              <w:tr2bl w:val="nil"/>
            </w:tcBorders>
            <w:tcMar>
              <w:top w:w="0" w:type="dxa"/>
              <w:left w:w="108" w:type="dxa"/>
              <w:bottom w:w="0" w:type="dxa"/>
              <w:right w:w="108" w:type="dxa"/>
            </w:tcMar>
            <w:vAlign w:val="center"/>
          </w:tcPr>
          <w:p w14:paraId="7AC78DF4">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298" w:type="dxa"/>
            <w:gridSpan w:val="5"/>
            <w:tcBorders>
              <w:tl2br w:val="nil"/>
              <w:tr2bl w:val="nil"/>
            </w:tcBorders>
            <w:tcMar>
              <w:top w:w="0" w:type="dxa"/>
              <w:left w:w="108" w:type="dxa"/>
              <w:bottom w:w="0" w:type="dxa"/>
              <w:right w:w="108" w:type="dxa"/>
            </w:tcMar>
            <w:vAlign w:val="center"/>
          </w:tcPr>
          <w:p w14:paraId="1BA4678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范围：渠道、隧道、垃圾填埋场、人工湖、水库等具有高地下水、胀气问题的水利工程。</w:t>
            </w:r>
          </w:p>
          <w:p w14:paraId="4CAB706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特殊土（膨胀土、分散土、湿陷性黄土、冻土等）工程冻融冻胀地区、地下溶洞地区。</w:t>
            </w:r>
          </w:p>
          <w:p w14:paraId="3C0C4C3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排出高地下水、地下</w:t>
            </w:r>
            <w:r>
              <w:rPr>
                <w:rFonts w:hint="eastAsia" w:ascii="宋体" w:hAnsi="宋体" w:eastAsia="宋体" w:cs="Times New Roman"/>
                <w:kern w:val="0"/>
                <w:sz w:val="24"/>
                <w:szCs w:val="24"/>
                <w:lang w:val="en-US" w:eastAsia="zh-CN" w:bidi="ar-SA"/>
              </w:rPr>
              <w:t>沼气</w:t>
            </w:r>
            <w:r>
              <w:rPr>
                <w:rFonts w:hint="default" w:ascii="宋体" w:hAnsi="宋体" w:eastAsia="宋体" w:cs="Times New Roman"/>
                <w:kern w:val="0"/>
                <w:sz w:val="24"/>
                <w:szCs w:val="24"/>
                <w:lang w:val="en-US" w:eastAsia="zh-CN" w:bidi="ar-SA"/>
              </w:rPr>
              <w:t>，平衡结构稳定；</w:t>
            </w:r>
          </w:p>
          <w:p w14:paraId="3139988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特殊土工程中，将钻入衬砌结构层下的降水，由下渗改成贴坡径流，将水分导流至单向排水阀并排出防渗膜外，防止渠基形成饱和水，产生滑坡危害；</w:t>
            </w:r>
          </w:p>
          <w:p w14:paraId="37CADD1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冻融冻胀地区，将地基中的饱和渗流水通过单向阀排出，以达到只冻不涨的目的。</w:t>
            </w:r>
          </w:p>
        </w:tc>
      </w:tr>
      <w:tr w14:paraId="4252DB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016" w:type="dxa"/>
            <w:tcBorders>
              <w:tl2br w:val="nil"/>
              <w:tr2bl w:val="nil"/>
            </w:tcBorders>
            <w:tcMar>
              <w:top w:w="0" w:type="dxa"/>
              <w:left w:w="108" w:type="dxa"/>
              <w:bottom w:w="0" w:type="dxa"/>
              <w:right w:w="108" w:type="dxa"/>
            </w:tcMar>
            <w:vAlign w:val="center"/>
          </w:tcPr>
          <w:p w14:paraId="7D8C3011">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298" w:type="dxa"/>
            <w:gridSpan w:val="5"/>
            <w:tcBorders>
              <w:tl2br w:val="nil"/>
              <w:tr2bl w:val="nil"/>
            </w:tcBorders>
            <w:tcMar>
              <w:top w:w="0" w:type="dxa"/>
              <w:left w:w="108" w:type="dxa"/>
              <w:bottom w:w="0" w:type="dxa"/>
              <w:right w:w="108" w:type="dxa"/>
            </w:tcMar>
            <w:vAlign w:val="center"/>
          </w:tcPr>
          <w:p w14:paraId="5B0422D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在多个大中型水利工程项目应用：</w:t>
            </w:r>
          </w:p>
          <w:p w14:paraId="56A0BB1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南水北调引调水工程配套工程，应用该技术解决了地下排气、排水、出水点淤堵单向防渗、单向排水、可持续性等问题，不仅节约建设投资及维护成本，而且通过水压差来开启或关闭阀门，具有环境友好的特点。综合整体施工情况，该技术的应用可为渠道工程建设及维修节省投资约30%。</w:t>
            </w:r>
          </w:p>
          <w:p w14:paraId="45413FC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十二师市政基础设施再生水项目蓄水池，本工程位于新疆乌鲁木齐，存在地下水压力大、胀气等隐患，作为蓄水池又必须具备较好的防渗性能，采用原土回填+单向排水土工膜的防渗方式。单向排水土工膜解决了地下水压力大的问题，在保证其防渗性能的同时将地下水压力、胀气卸除，保证了工程安全运行。较传统工艺施工简单，节约工时，总体造价要比加厚结构层的施工方案低30%。</w:t>
            </w:r>
          </w:p>
          <w:p w14:paraId="312C2CE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cs="Times New Roman" w:eastAsiaTheme="minorEastAsia"/>
                <w:bCs/>
                <w:sz w:val="24"/>
                <w:szCs w:val="24"/>
              </w:rPr>
            </w:pPr>
            <w:r>
              <w:rPr>
                <w:rFonts w:hint="default" w:ascii="宋体" w:hAnsi="宋体" w:eastAsia="宋体" w:cs="Times New Roman"/>
                <w:kern w:val="0"/>
                <w:sz w:val="24"/>
                <w:szCs w:val="24"/>
                <w:lang w:val="en-US" w:eastAsia="zh-CN" w:bidi="ar-SA"/>
              </w:rPr>
              <w:t>（3）西藏</w:t>
            </w:r>
            <w:bookmarkStart w:id="19" w:name="_Hlk161340073"/>
            <w:r>
              <w:rPr>
                <w:rFonts w:hint="default" w:ascii="宋体" w:hAnsi="宋体" w:eastAsia="宋体" w:cs="Times New Roman"/>
                <w:kern w:val="0"/>
                <w:sz w:val="24"/>
                <w:szCs w:val="24"/>
                <w:lang w:val="en-US" w:eastAsia="zh-CN" w:bidi="ar-SA"/>
              </w:rPr>
              <w:t>白朗县曲奴乡彭嘎水库工程</w:t>
            </w:r>
            <w:bookmarkEnd w:id="19"/>
            <w:r>
              <w:rPr>
                <w:rFonts w:hint="default" w:ascii="宋体" w:hAnsi="宋体" w:eastAsia="宋体" w:cs="Times New Roman"/>
                <w:kern w:val="0"/>
                <w:sz w:val="24"/>
                <w:szCs w:val="24"/>
                <w:lang w:val="en-US" w:eastAsia="zh-CN" w:bidi="ar-SA"/>
              </w:rPr>
              <w:t>，本工程位于西藏白朗县曲奴乡，周围山体环绕，雨季地下水压力大，季节性明显，原设计用普通土工膜防渗，后发生土工膜隆起现象，更换单向排水土工膜进行修复加固，</w:t>
            </w:r>
            <w:r>
              <w:rPr>
                <w:rFonts w:hint="eastAsia" w:ascii="宋体" w:hAnsi="宋体" w:eastAsia="宋体" w:cs="Times New Roman"/>
                <w:kern w:val="0"/>
                <w:sz w:val="24"/>
                <w:szCs w:val="24"/>
                <w:lang w:val="en-US" w:eastAsia="zh-CN" w:bidi="ar-SA"/>
              </w:rPr>
              <w:t>排出</w:t>
            </w:r>
            <w:r>
              <w:rPr>
                <w:rFonts w:hint="default" w:ascii="宋体" w:hAnsi="宋体" w:eastAsia="宋体" w:cs="Times New Roman"/>
                <w:kern w:val="0"/>
                <w:sz w:val="24"/>
                <w:szCs w:val="24"/>
                <w:lang w:val="en-US" w:eastAsia="zh-CN" w:bidi="ar-SA"/>
              </w:rPr>
              <w:t>地下水，保证工程的安全运行。单向排水土工膜解决了地下水压力大的问题，同时对地下水进行收集，进入库盆中，单面防渗，也有利于地下水的二次利用。施工过程中，配有专用工具，提高了施工效率与施工质量。</w:t>
            </w:r>
          </w:p>
        </w:tc>
      </w:tr>
    </w:tbl>
    <w:p w14:paraId="366B0D4D">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0" w:name="_Toc12182"/>
      <w:r>
        <w:rPr>
          <w:rFonts w:hint="default" w:ascii="宋体" w:hAnsi="宋体" w:cs="Times New Roman"/>
          <w:sz w:val="28"/>
          <w:szCs w:val="28"/>
          <w:lang w:val="en-US" w:eastAsia="zh-CN"/>
        </w:rPr>
        <w:t>3.3 纳米无机水性渗透结晶材料（纳米胶）</w:t>
      </w:r>
      <w:bookmarkEnd w:id="20"/>
    </w:p>
    <w:tbl>
      <w:tblPr>
        <w:tblStyle w:val="28"/>
        <w:tblW w:w="908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17"/>
        <w:gridCol w:w="1202"/>
        <w:gridCol w:w="860"/>
        <w:gridCol w:w="1570"/>
        <w:gridCol w:w="1180"/>
        <w:gridCol w:w="2151"/>
      </w:tblGrid>
      <w:tr w14:paraId="1A4A6E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7" w:type="dxa"/>
            <w:tcBorders>
              <w:tl2br w:val="nil"/>
              <w:tr2bl w:val="nil"/>
            </w:tcBorders>
            <w:tcMar>
              <w:top w:w="0" w:type="dxa"/>
              <w:left w:w="108" w:type="dxa"/>
              <w:bottom w:w="0" w:type="dxa"/>
              <w:right w:w="108" w:type="dxa"/>
            </w:tcMar>
            <w:vAlign w:val="center"/>
          </w:tcPr>
          <w:p w14:paraId="4D51C8B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6963" w:type="dxa"/>
            <w:gridSpan w:val="5"/>
            <w:tcBorders>
              <w:tl2br w:val="nil"/>
              <w:tr2bl w:val="nil"/>
            </w:tcBorders>
            <w:tcMar>
              <w:top w:w="0" w:type="dxa"/>
              <w:left w:w="108" w:type="dxa"/>
              <w:bottom w:w="0" w:type="dxa"/>
              <w:right w:w="108" w:type="dxa"/>
            </w:tcMar>
            <w:vAlign w:val="center"/>
          </w:tcPr>
          <w:p w14:paraId="0D8A2C0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spacing w:val="4"/>
                <w:kern w:val="0"/>
                <w:sz w:val="24"/>
                <w:szCs w:val="24"/>
              </w:rPr>
              <w:t>纳米无机水性渗透结晶材料</w:t>
            </w:r>
            <w:r>
              <w:rPr>
                <w:rFonts w:hint="default" w:ascii="宋体" w:hAnsi="宋体" w:cs="Times New Roman" w:eastAsiaTheme="minorEastAsia"/>
                <w:spacing w:val="4"/>
                <w:kern w:val="0"/>
                <w:sz w:val="24"/>
                <w:szCs w:val="24"/>
                <w:lang w:eastAsia="zh-CN"/>
              </w:rPr>
              <w:t>（</w:t>
            </w:r>
            <w:r>
              <w:rPr>
                <w:rFonts w:hint="default" w:ascii="宋体" w:hAnsi="宋体" w:cs="Times New Roman" w:eastAsiaTheme="minorEastAsia"/>
                <w:spacing w:val="4"/>
                <w:kern w:val="0"/>
                <w:sz w:val="24"/>
                <w:szCs w:val="24"/>
              </w:rPr>
              <w:t>纳米胶</w:t>
            </w:r>
            <w:r>
              <w:rPr>
                <w:rFonts w:hint="default" w:ascii="宋体" w:hAnsi="宋体" w:cs="Times New Roman" w:eastAsiaTheme="minorEastAsia"/>
                <w:spacing w:val="4"/>
                <w:kern w:val="0"/>
                <w:sz w:val="24"/>
                <w:szCs w:val="24"/>
                <w:lang w:eastAsia="zh-CN"/>
              </w:rPr>
              <w:t>）</w:t>
            </w:r>
          </w:p>
        </w:tc>
      </w:tr>
      <w:tr w14:paraId="631BD8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7" w:type="dxa"/>
            <w:tcBorders>
              <w:tl2br w:val="nil"/>
              <w:tr2bl w:val="nil"/>
            </w:tcBorders>
            <w:tcMar>
              <w:top w:w="0" w:type="dxa"/>
              <w:left w:w="108" w:type="dxa"/>
              <w:bottom w:w="0" w:type="dxa"/>
              <w:right w:w="108" w:type="dxa"/>
            </w:tcMar>
            <w:vAlign w:val="center"/>
          </w:tcPr>
          <w:p w14:paraId="4F8DC4F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6963" w:type="dxa"/>
            <w:gridSpan w:val="5"/>
            <w:tcBorders>
              <w:tl2br w:val="nil"/>
              <w:tr2bl w:val="nil"/>
            </w:tcBorders>
            <w:tcMar>
              <w:top w:w="0" w:type="dxa"/>
              <w:left w:w="108" w:type="dxa"/>
              <w:bottom w:w="0" w:type="dxa"/>
              <w:right w:w="108" w:type="dxa"/>
            </w:tcMar>
            <w:vAlign w:val="center"/>
          </w:tcPr>
          <w:p w14:paraId="3D6A354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北京易晟元环保工程有限公司</w:t>
            </w:r>
          </w:p>
        </w:tc>
      </w:tr>
      <w:tr w14:paraId="09A562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7" w:type="dxa"/>
            <w:tcBorders>
              <w:tl2br w:val="nil"/>
              <w:tr2bl w:val="nil"/>
            </w:tcBorders>
            <w:tcMar>
              <w:top w:w="0" w:type="dxa"/>
              <w:left w:w="108" w:type="dxa"/>
              <w:bottom w:w="0" w:type="dxa"/>
              <w:right w:w="108" w:type="dxa"/>
            </w:tcMar>
            <w:vAlign w:val="center"/>
          </w:tcPr>
          <w:p w14:paraId="38E082C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3632" w:type="dxa"/>
            <w:gridSpan w:val="3"/>
            <w:tcBorders>
              <w:tl2br w:val="nil"/>
              <w:tr2bl w:val="nil"/>
            </w:tcBorders>
            <w:tcMar>
              <w:top w:w="0" w:type="dxa"/>
              <w:left w:w="108" w:type="dxa"/>
              <w:bottom w:w="0" w:type="dxa"/>
              <w:right w:w="108" w:type="dxa"/>
            </w:tcMar>
            <w:vAlign w:val="center"/>
          </w:tcPr>
          <w:p w14:paraId="55D3EA3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北京市朝阳区建国路118号</w:t>
            </w:r>
          </w:p>
        </w:tc>
        <w:tc>
          <w:tcPr>
            <w:tcW w:w="1180" w:type="dxa"/>
            <w:tcBorders>
              <w:tl2br w:val="nil"/>
              <w:tr2bl w:val="nil"/>
            </w:tcBorders>
            <w:tcMar>
              <w:top w:w="0" w:type="dxa"/>
              <w:left w:w="108" w:type="dxa"/>
              <w:bottom w:w="0" w:type="dxa"/>
              <w:right w:w="108" w:type="dxa"/>
            </w:tcMar>
            <w:vAlign w:val="center"/>
          </w:tcPr>
          <w:p w14:paraId="4EAD4BD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2151" w:type="dxa"/>
            <w:tcBorders>
              <w:tl2br w:val="nil"/>
              <w:tr2bl w:val="nil"/>
            </w:tcBorders>
            <w:tcMar>
              <w:top w:w="0" w:type="dxa"/>
              <w:left w:w="108" w:type="dxa"/>
              <w:bottom w:w="0" w:type="dxa"/>
              <w:right w:w="108" w:type="dxa"/>
            </w:tcMar>
            <w:vAlign w:val="center"/>
          </w:tcPr>
          <w:p w14:paraId="02D9945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100020</w:t>
            </w:r>
          </w:p>
        </w:tc>
      </w:tr>
      <w:tr w14:paraId="4BD4F1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7" w:type="dxa"/>
            <w:tcBorders>
              <w:tl2br w:val="nil"/>
              <w:tr2bl w:val="nil"/>
            </w:tcBorders>
            <w:tcMar>
              <w:top w:w="0" w:type="dxa"/>
              <w:left w:w="108" w:type="dxa"/>
              <w:bottom w:w="0" w:type="dxa"/>
              <w:right w:w="108" w:type="dxa"/>
            </w:tcMar>
            <w:vAlign w:val="center"/>
          </w:tcPr>
          <w:p w14:paraId="5E308AF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202" w:type="dxa"/>
            <w:tcBorders>
              <w:tl2br w:val="nil"/>
              <w:tr2bl w:val="nil"/>
            </w:tcBorders>
            <w:tcMar>
              <w:top w:w="0" w:type="dxa"/>
              <w:left w:w="108" w:type="dxa"/>
              <w:bottom w:w="0" w:type="dxa"/>
              <w:right w:w="108" w:type="dxa"/>
            </w:tcMar>
            <w:vAlign w:val="center"/>
          </w:tcPr>
          <w:p w14:paraId="5C6C97F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曲淑荣</w:t>
            </w:r>
          </w:p>
        </w:tc>
        <w:tc>
          <w:tcPr>
            <w:tcW w:w="860" w:type="dxa"/>
            <w:tcBorders>
              <w:tl2br w:val="nil"/>
              <w:tr2bl w:val="nil"/>
            </w:tcBorders>
            <w:tcMar>
              <w:top w:w="0" w:type="dxa"/>
              <w:left w:w="108" w:type="dxa"/>
              <w:bottom w:w="0" w:type="dxa"/>
              <w:right w:w="108" w:type="dxa"/>
            </w:tcMar>
            <w:vAlign w:val="center"/>
          </w:tcPr>
          <w:p w14:paraId="0DF4D6A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570" w:type="dxa"/>
            <w:tcBorders>
              <w:tl2br w:val="nil"/>
              <w:tr2bl w:val="nil"/>
            </w:tcBorders>
            <w:tcMar>
              <w:top w:w="0" w:type="dxa"/>
              <w:left w:w="108" w:type="dxa"/>
              <w:bottom w:w="0" w:type="dxa"/>
              <w:right w:w="108" w:type="dxa"/>
            </w:tcMar>
            <w:vAlign w:val="center"/>
          </w:tcPr>
          <w:p w14:paraId="615534A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p>
        </w:tc>
        <w:tc>
          <w:tcPr>
            <w:tcW w:w="1180" w:type="dxa"/>
            <w:tcBorders>
              <w:tl2br w:val="nil"/>
              <w:tr2bl w:val="nil"/>
            </w:tcBorders>
            <w:tcMar>
              <w:top w:w="0" w:type="dxa"/>
              <w:left w:w="108" w:type="dxa"/>
              <w:bottom w:w="0" w:type="dxa"/>
              <w:right w:w="108" w:type="dxa"/>
            </w:tcMar>
            <w:vAlign w:val="center"/>
          </w:tcPr>
          <w:p w14:paraId="2C4384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2151" w:type="dxa"/>
            <w:tcBorders>
              <w:tl2br w:val="nil"/>
              <w:tr2bl w:val="nil"/>
            </w:tcBorders>
            <w:shd w:val="clear" w:color="auto" w:fill="auto"/>
            <w:tcMar>
              <w:top w:w="0" w:type="dxa"/>
              <w:left w:w="108" w:type="dxa"/>
              <w:bottom w:w="0" w:type="dxa"/>
              <w:right w:w="108" w:type="dxa"/>
            </w:tcMar>
            <w:vAlign w:val="center"/>
          </w:tcPr>
          <w:p w14:paraId="625C0A6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both"/>
              <w:textAlignment w:val="auto"/>
              <w:rPr>
                <w:rFonts w:hint="default" w:ascii="宋体" w:hAnsi="宋体" w:cs="Times New Roman" w:eastAsiaTheme="minorEastAsia"/>
                <w:kern w:val="0"/>
                <w:sz w:val="24"/>
                <w:szCs w:val="24"/>
                <w:lang w:val="en-US" w:eastAsia="zh-CN" w:bidi="ar-SA"/>
              </w:rPr>
            </w:pPr>
            <w:r>
              <w:rPr>
                <w:rFonts w:hint="eastAsia" w:ascii="宋体" w:hAnsi="宋体" w:cs="Times New Roman" w:eastAsiaTheme="minorEastAsia"/>
                <w:kern w:val="0"/>
                <w:sz w:val="24"/>
                <w:szCs w:val="24"/>
                <w:lang w:val="en-US" w:eastAsia="zh-CN"/>
              </w:rPr>
              <w:t>0</w:t>
            </w:r>
            <w:r>
              <w:rPr>
                <w:rFonts w:hint="default" w:ascii="宋体" w:hAnsi="宋体" w:cs="Times New Roman" w:eastAsiaTheme="minorEastAsia"/>
                <w:kern w:val="0"/>
                <w:sz w:val="24"/>
                <w:szCs w:val="24"/>
                <w:lang w:val="en-US" w:eastAsia="zh-CN"/>
              </w:rPr>
              <w:t>10-85229883</w:t>
            </w:r>
          </w:p>
        </w:tc>
      </w:tr>
      <w:tr w14:paraId="631D56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7" w:type="dxa"/>
            <w:tcBorders>
              <w:tl2br w:val="nil"/>
              <w:tr2bl w:val="nil"/>
            </w:tcBorders>
            <w:tcMar>
              <w:top w:w="0" w:type="dxa"/>
              <w:left w:w="108" w:type="dxa"/>
              <w:bottom w:w="0" w:type="dxa"/>
              <w:right w:w="108" w:type="dxa"/>
            </w:tcMar>
            <w:vAlign w:val="center"/>
          </w:tcPr>
          <w:p w14:paraId="3AEC3F0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202" w:type="dxa"/>
            <w:tcBorders>
              <w:tl2br w:val="nil"/>
              <w:tr2bl w:val="nil"/>
            </w:tcBorders>
            <w:tcMar>
              <w:top w:w="0" w:type="dxa"/>
              <w:left w:w="108" w:type="dxa"/>
              <w:bottom w:w="0" w:type="dxa"/>
              <w:right w:w="108" w:type="dxa"/>
            </w:tcMar>
            <w:vAlign w:val="center"/>
          </w:tcPr>
          <w:p w14:paraId="696D507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祝新宇</w:t>
            </w:r>
          </w:p>
        </w:tc>
        <w:tc>
          <w:tcPr>
            <w:tcW w:w="860" w:type="dxa"/>
            <w:tcBorders>
              <w:tl2br w:val="nil"/>
              <w:tr2bl w:val="nil"/>
            </w:tcBorders>
            <w:tcMar>
              <w:top w:w="0" w:type="dxa"/>
              <w:left w:w="108" w:type="dxa"/>
              <w:bottom w:w="0" w:type="dxa"/>
              <w:right w:w="108" w:type="dxa"/>
            </w:tcMar>
            <w:vAlign w:val="center"/>
          </w:tcPr>
          <w:p w14:paraId="31B83AC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70" w:type="dxa"/>
            <w:tcBorders>
              <w:tl2br w:val="nil"/>
              <w:tr2bl w:val="nil"/>
            </w:tcBorders>
            <w:tcMar>
              <w:top w:w="0" w:type="dxa"/>
              <w:left w:w="108" w:type="dxa"/>
              <w:bottom w:w="0" w:type="dxa"/>
              <w:right w:w="108" w:type="dxa"/>
            </w:tcMar>
            <w:vAlign w:val="center"/>
          </w:tcPr>
          <w:p w14:paraId="5C3564F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Times New Roman" w:eastAsiaTheme="minorEastAsia"/>
                <w:kern w:val="0"/>
                <w:sz w:val="24"/>
                <w:szCs w:val="24"/>
                <w:lang w:val="en-US" w:eastAsia="zh-CN"/>
              </w:rPr>
            </w:pPr>
            <w:r>
              <w:rPr>
                <w:rFonts w:hint="eastAsia" w:ascii="宋体" w:hAnsi="宋体" w:cs="Times New Roman" w:eastAsiaTheme="minorEastAsia"/>
                <w:kern w:val="0"/>
                <w:sz w:val="24"/>
                <w:szCs w:val="24"/>
                <w:lang w:val="en-US" w:eastAsia="zh-CN"/>
              </w:rPr>
              <w:t>0</w:t>
            </w:r>
            <w:r>
              <w:rPr>
                <w:rFonts w:hint="default" w:ascii="宋体" w:hAnsi="宋体" w:cs="Times New Roman" w:eastAsiaTheme="minorEastAsia"/>
                <w:kern w:val="0"/>
                <w:sz w:val="24"/>
                <w:szCs w:val="24"/>
                <w:lang w:val="en-US" w:eastAsia="zh-CN"/>
              </w:rPr>
              <w:t>10-85229883</w:t>
            </w:r>
          </w:p>
        </w:tc>
        <w:tc>
          <w:tcPr>
            <w:tcW w:w="1180" w:type="dxa"/>
            <w:tcBorders>
              <w:tl2br w:val="nil"/>
              <w:tr2bl w:val="nil"/>
            </w:tcBorders>
            <w:tcMar>
              <w:top w:w="0" w:type="dxa"/>
              <w:left w:w="108" w:type="dxa"/>
              <w:bottom w:w="0" w:type="dxa"/>
              <w:right w:w="108" w:type="dxa"/>
            </w:tcMar>
            <w:vAlign w:val="center"/>
          </w:tcPr>
          <w:p w14:paraId="41CD112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2151" w:type="dxa"/>
            <w:tcBorders>
              <w:tl2br w:val="nil"/>
              <w:tr2bl w:val="nil"/>
            </w:tcBorders>
            <w:tcMar>
              <w:top w:w="0" w:type="dxa"/>
              <w:left w:w="108" w:type="dxa"/>
              <w:bottom w:w="0" w:type="dxa"/>
              <w:right w:w="108" w:type="dxa"/>
            </w:tcMar>
            <w:vAlign w:val="center"/>
          </w:tcPr>
          <w:p w14:paraId="4C3737F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zhuxy@bjysy.com</w:t>
            </w:r>
          </w:p>
        </w:tc>
      </w:tr>
      <w:tr w14:paraId="6FC94A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17" w:type="dxa"/>
            <w:tcBorders>
              <w:tl2br w:val="nil"/>
              <w:tr2bl w:val="nil"/>
            </w:tcBorders>
            <w:tcMar>
              <w:top w:w="0" w:type="dxa"/>
              <w:left w:w="108" w:type="dxa"/>
              <w:bottom w:w="0" w:type="dxa"/>
              <w:right w:w="108" w:type="dxa"/>
            </w:tcMar>
            <w:vAlign w:val="center"/>
          </w:tcPr>
          <w:p w14:paraId="01DAE2C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6963" w:type="dxa"/>
            <w:gridSpan w:val="5"/>
            <w:tcBorders>
              <w:tl2br w:val="nil"/>
              <w:tr2bl w:val="nil"/>
            </w:tcBorders>
            <w:tcMar>
              <w:top w:w="0" w:type="dxa"/>
              <w:left w:w="108" w:type="dxa"/>
              <w:bottom w:w="0" w:type="dxa"/>
              <w:right w:w="108" w:type="dxa"/>
            </w:tcMar>
            <w:vAlign w:val="center"/>
          </w:tcPr>
          <w:p w14:paraId="6371E79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北京易晟元环保工程有限公司是专注于建筑新材料和工业环保领域的高新技术企业。主要涉及领域包括轨道交通、桥梁隧道、水利水电工程、火力发电工程等。主要业务包括混凝土病害的诊断与分析、新旧混凝土耐久性防护及修复、混凝土工程修复防护用新材料、新技术的研发生产、新材料调研推广等。</w:t>
            </w:r>
          </w:p>
        </w:tc>
      </w:tr>
      <w:tr w14:paraId="47E137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17" w:type="dxa"/>
            <w:tcBorders>
              <w:tl2br w:val="nil"/>
              <w:tr2bl w:val="nil"/>
            </w:tcBorders>
            <w:tcMar>
              <w:top w:w="0" w:type="dxa"/>
              <w:left w:w="108" w:type="dxa"/>
              <w:bottom w:w="0" w:type="dxa"/>
              <w:right w:w="108" w:type="dxa"/>
            </w:tcMar>
            <w:vAlign w:val="center"/>
          </w:tcPr>
          <w:p w14:paraId="44ED0DF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6963" w:type="dxa"/>
            <w:gridSpan w:val="5"/>
            <w:tcBorders>
              <w:tl2br w:val="nil"/>
              <w:tr2bl w:val="nil"/>
            </w:tcBorders>
            <w:tcMar>
              <w:top w:w="0" w:type="dxa"/>
              <w:left w:w="108" w:type="dxa"/>
              <w:bottom w:w="0" w:type="dxa"/>
              <w:right w:w="108" w:type="dxa"/>
            </w:tcMar>
            <w:vAlign w:val="center"/>
          </w:tcPr>
          <w:p w14:paraId="16F409C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纳米胶”是运用纳米技术制备的无机渗透结晶型材料，是一种无色、无味、透明、黏度小于5mPa·s、粒径范围分布在3~45nm的纳米级溶液，可快速渗透到混凝土内部40mm以上，不断地与混凝土毛细孔、界面孔隙中的氢氧化钙反应生成水化硅酸钙凝胶，有效充填、封闭混凝土内部微细裂缝、毛细孔隙等，提高混凝土表层密实度，保持（或恢复）混凝土健康度，延长其服役寿命，产品环保无毒，达到饮用水工程标准。经各权威机构检验，具有抑制混凝土早期开裂，抵御冻融破坏、碳化、酸碱盐侵蚀、菌藻附着侵蚀，提升混凝土抗渗、耐磨、抗风蚀等能力，有效防止寒冷环境下冰层与混凝土面层冻结，有效提升混凝土综合耐久性能。该项技术已广泛应用于水利、电力、交通等领域。</w:t>
            </w:r>
          </w:p>
        </w:tc>
      </w:tr>
      <w:tr w14:paraId="650877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17" w:type="dxa"/>
            <w:tcBorders>
              <w:tl2br w:val="nil"/>
              <w:tr2bl w:val="nil"/>
            </w:tcBorders>
            <w:tcMar>
              <w:top w:w="0" w:type="dxa"/>
              <w:left w:w="108" w:type="dxa"/>
              <w:bottom w:w="0" w:type="dxa"/>
              <w:right w:w="108" w:type="dxa"/>
            </w:tcMar>
            <w:vAlign w:val="center"/>
          </w:tcPr>
          <w:p w14:paraId="16CCB8C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6963" w:type="dxa"/>
            <w:gridSpan w:val="5"/>
            <w:tcBorders>
              <w:tl2br w:val="nil"/>
              <w:tr2bl w:val="nil"/>
            </w:tcBorders>
            <w:tcMar>
              <w:top w:w="0" w:type="dxa"/>
              <w:left w:w="108" w:type="dxa"/>
              <w:bottom w:w="0" w:type="dxa"/>
              <w:right w:w="108" w:type="dxa"/>
            </w:tcMar>
            <w:vAlign w:val="center"/>
          </w:tcPr>
          <w:p w14:paraId="74D0DDA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詹仰东、孟丽丽、马誉歌、李彦波、周丽杰、米敬欣、祝新宇、冀伟程、白丽芳、郝亚飞、孙金龙</w:t>
            </w:r>
          </w:p>
        </w:tc>
      </w:tr>
      <w:tr w14:paraId="0BEEB1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17" w:type="dxa"/>
            <w:tcBorders>
              <w:tl2br w:val="nil"/>
              <w:tr2bl w:val="nil"/>
            </w:tcBorders>
            <w:tcMar>
              <w:top w:w="0" w:type="dxa"/>
              <w:left w:w="108" w:type="dxa"/>
              <w:bottom w:w="0" w:type="dxa"/>
              <w:right w:w="108" w:type="dxa"/>
            </w:tcMar>
            <w:vAlign w:val="center"/>
          </w:tcPr>
          <w:p w14:paraId="66BE53E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6963" w:type="dxa"/>
            <w:gridSpan w:val="5"/>
            <w:tcBorders>
              <w:tl2br w:val="nil"/>
              <w:tr2bl w:val="nil"/>
            </w:tcBorders>
            <w:tcMar>
              <w:top w:w="0" w:type="dxa"/>
              <w:left w:w="108" w:type="dxa"/>
              <w:bottom w:w="0" w:type="dxa"/>
              <w:right w:w="108" w:type="dxa"/>
            </w:tcMar>
            <w:vAlign w:val="center"/>
          </w:tcPr>
          <w:p w14:paraId="2C02808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专利：</w:t>
            </w:r>
          </w:p>
          <w:p w14:paraId="2E1487C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一种纳米改性硅酸盐渗透结晶材料及其使用方法/发明专利</w:t>
            </w:r>
          </w:p>
          <w:p w14:paraId="1E2BFE4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一种混凝土用抗菌藻附着的涂料/发明专利</w:t>
            </w:r>
          </w:p>
          <w:p w14:paraId="17B3E06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混凝土早期养护液体制剂及混凝土早期养护方法/发明专利</w:t>
            </w:r>
          </w:p>
          <w:p w14:paraId="18CFA59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用于修复高强混凝土微细裂缝的双组分材料及使用方法/发明专利</w:t>
            </w:r>
          </w:p>
          <w:p w14:paraId="4383336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一种用于混凝土防护材料喷涂量现场检测的检测装置/实用新型</w:t>
            </w:r>
          </w:p>
          <w:p w14:paraId="0A7EB06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一种宽幅调压喷涂装置/实用新型</w:t>
            </w:r>
          </w:p>
          <w:p w14:paraId="3766080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混凝土透水量的检测装置/实用新型</w:t>
            </w:r>
          </w:p>
          <w:p w14:paraId="480559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一种建筑施工用混凝土搅拌设备/发明专利</w:t>
            </w:r>
          </w:p>
          <w:p w14:paraId="48EB379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一种混凝土抹平机/发明专利</w:t>
            </w:r>
          </w:p>
          <w:p w14:paraId="79EB4C2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一种发热除冰装配式高强混凝土路面/实用新型</w:t>
            </w:r>
          </w:p>
          <w:p w14:paraId="16DF1E1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获奖情况：</w:t>
            </w:r>
          </w:p>
          <w:p w14:paraId="213CBB5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2021年6月28日获得北京水利学会科学技术奖一等奖、</w:t>
            </w:r>
          </w:p>
          <w:p w14:paraId="72EE4CD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2020年12月18日获得建筑材料创新奖三等奖、</w:t>
            </w:r>
          </w:p>
          <w:p w14:paraId="5FAAC06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获得水利先进实用技术推广证书、</w:t>
            </w:r>
          </w:p>
          <w:p w14:paraId="12BD1B5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2020年8月10日获得水利先进实用技术优秀示范工程证书、</w:t>
            </w:r>
          </w:p>
          <w:p w14:paraId="1D79AC6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2021年8月20日获得浙江省水利新技术推广证书、</w:t>
            </w:r>
          </w:p>
          <w:p w14:paraId="20CF8EF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2021年12月10日获得绿色建筑节能推荐产品证书、</w:t>
            </w:r>
          </w:p>
          <w:p w14:paraId="43317E0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2022年10月13日获得天津市科学技术成果登记证书</w:t>
            </w:r>
          </w:p>
        </w:tc>
      </w:tr>
      <w:tr w14:paraId="478039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17" w:type="dxa"/>
            <w:tcBorders>
              <w:tl2br w:val="nil"/>
              <w:tr2bl w:val="nil"/>
            </w:tcBorders>
            <w:tcMar>
              <w:top w:w="0" w:type="dxa"/>
              <w:left w:w="108" w:type="dxa"/>
              <w:bottom w:w="0" w:type="dxa"/>
              <w:right w:w="108" w:type="dxa"/>
            </w:tcMar>
            <w:vAlign w:val="center"/>
          </w:tcPr>
          <w:p w14:paraId="7974A6C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6963" w:type="dxa"/>
            <w:gridSpan w:val="5"/>
            <w:tcBorders>
              <w:tl2br w:val="nil"/>
              <w:tr2bl w:val="nil"/>
            </w:tcBorders>
            <w:tcMar>
              <w:top w:w="0" w:type="dxa"/>
              <w:left w:w="108" w:type="dxa"/>
              <w:bottom w:w="0" w:type="dxa"/>
              <w:right w:w="108" w:type="dxa"/>
            </w:tcMar>
            <w:vAlign w:val="center"/>
          </w:tcPr>
          <w:p w14:paraId="099D2C4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适用于水工混凝土建（构）筑物早期养护、防碳化、抗冻融、抗氯离子侵蚀、抗酸碱腐蚀、防菌藻附着等，及隧洞、渡槽、渠道等混凝土建（构）筑物的降糙、抗冲磨等。</w:t>
            </w:r>
          </w:p>
        </w:tc>
      </w:tr>
      <w:tr w14:paraId="2F11E6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17" w:type="dxa"/>
            <w:tcBorders>
              <w:tl2br w:val="nil"/>
              <w:tr2bl w:val="nil"/>
            </w:tcBorders>
            <w:tcMar>
              <w:top w:w="0" w:type="dxa"/>
              <w:left w:w="108" w:type="dxa"/>
              <w:bottom w:w="0" w:type="dxa"/>
              <w:right w:w="108" w:type="dxa"/>
            </w:tcMar>
            <w:vAlign w:val="center"/>
          </w:tcPr>
          <w:p w14:paraId="3AC2795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6963" w:type="dxa"/>
            <w:gridSpan w:val="5"/>
            <w:tcBorders>
              <w:tl2br w:val="nil"/>
              <w:tr2bl w:val="nil"/>
            </w:tcBorders>
            <w:tcMar>
              <w:top w:w="0" w:type="dxa"/>
              <w:left w:w="108" w:type="dxa"/>
              <w:bottom w:w="0" w:type="dxa"/>
              <w:right w:w="108" w:type="dxa"/>
            </w:tcMar>
            <w:vAlign w:val="center"/>
          </w:tcPr>
          <w:p w14:paraId="11CFEFB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一：2021年4月于南水北调中线放水河渡槽实施降糙处理（约10000平），解决渡槽表面菌藻、壳菜附着问题，提升结构输水能力。施工后降低表面糙率12.79%，增加流速9.7%。</w:t>
            </w:r>
          </w:p>
          <w:p w14:paraId="411A8BD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二：2018年</w:t>
            </w:r>
            <w:r>
              <w:rPr>
                <w:rFonts w:hint="eastAsia" w:ascii="宋体" w:hAnsi="宋体" w:eastAsia="宋体" w:cs="Times New Roman"/>
                <w:kern w:val="0"/>
                <w:sz w:val="24"/>
                <w:szCs w:val="24"/>
                <w:lang w:val="en-US" w:eastAsia="zh-CN" w:bidi="ar-SA"/>
              </w:rPr>
              <w:t>—2022年</w:t>
            </w:r>
            <w:r>
              <w:rPr>
                <w:rFonts w:hint="default" w:ascii="宋体" w:hAnsi="宋体" w:eastAsia="宋体" w:cs="Times New Roman"/>
                <w:kern w:val="0"/>
                <w:sz w:val="24"/>
                <w:szCs w:val="24"/>
                <w:lang w:val="en-US" w:eastAsia="zh-CN" w:bidi="ar-SA"/>
              </w:rPr>
              <w:t>用于北京向阳闸闸墩、横梁、翼墙应用纳米胶（约1万平），碳化能力提升50%。</w:t>
            </w:r>
          </w:p>
          <w:p w14:paraId="22C0645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三：2019年10月天津滨海新区海港港口防潮堤应用“纳米胶”5千平，解决盐害造成的露筋、麻窝麻面等问题，抗氯离子迁移能力提高2倍，评为“水利先进实用技术优秀示范工程”。</w:t>
            </w:r>
          </w:p>
          <w:p w14:paraId="73B2C0B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四：北京密云水库第九水厂输水隧洞应用“纳米胶”（约四万平）解决渗漏问题。施工后提升抗渗、抗碳化能力，强度增加8.0MPa，荣获“北京水利学会科学技术一等奖”。</w:t>
            </w:r>
          </w:p>
          <w:p w14:paraId="09EB970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五：2021年9月，在衢州黄坛口大坝、闸墩（约一万平）进行“纳米胶”处理。应用后，碳化深度降低50%。</w:t>
            </w:r>
          </w:p>
          <w:p w14:paraId="2FE8B1A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六：天津杨庄水库项目于2019年11月用纳米胶进行防护。经检测，混凝土表面密实度提升、抗冰拔效果显著。</w:t>
            </w:r>
          </w:p>
          <w:p w14:paraId="5B1CF57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七：2021年11月，湖南平江抽蓄电站采用纳米胶开展混凝土早期养护（5000平）。抗渗提升2级，碳化减少22.0%，抗冲磨提高1倍，并提高抗冻及抗菌藻附着能力。</w:t>
            </w:r>
          </w:p>
        </w:tc>
      </w:tr>
    </w:tbl>
    <w:p w14:paraId="49FAAF8C">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1" w:name="_Toc29622"/>
      <w:r>
        <w:rPr>
          <w:rFonts w:hint="default" w:ascii="宋体" w:hAnsi="宋体" w:cs="Times New Roman"/>
          <w:sz w:val="28"/>
          <w:szCs w:val="28"/>
          <w:lang w:val="en-US" w:eastAsia="zh-CN"/>
        </w:rPr>
        <w:t>3.4 混凝土及金属结构纳硅防护材料</w:t>
      </w:r>
      <w:bookmarkEnd w:id="21"/>
    </w:p>
    <w:tbl>
      <w:tblPr>
        <w:tblStyle w:val="28"/>
        <w:tblW w:w="907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13"/>
        <w:gridCol w:w="974"/>
        <w:gridCol w:w="923"/>
        <w:gridCol w:w="1585"/>
        <w:gridCol w:w="1243"/>
        <w:gridCol w:w="2233"/>
      </w:tblGrid>
      <w:tr w14:paraId="4962E2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3" w:type="dxa"/>
            <w:tcBorders>
              <w:tl2br w:val="nil"/>
              <w:tr2bl w:val="nil"/>
            </w:tcBorders>
            <w:tcMar>
              <w:top w:w="0" w:type="dxa"/>
              <w:left w:w="108" w:type="dxa"/>
              <w:bottom w:w="0" w:type="dxa"/>
              <w:right w:w="108" w:type="dxa"/>
            </w:tcMar>
            <w:vAlign w:val="center"/>
          </w:tcPr>
          <w:p w14:paraId="2D57252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6958" w:type="dxa"/>
            <w:gridSpan w:val="5"/>
            <w:tcBorders>
              <w:tl2br w:val="nil"/>
              <w:tr2bl w:val="nil"/>
            </w:tcBorders>
            <w:tcMar>
              <w:top w:w="0" w:type="dxa"/>
              <w:left w:w="108" w:type="dxa"/>
              <w:bottom w:w="0" w:type="dxa"/>
              <w:right w:w="108" w:type="dxa"/>
            </w:tcMar>
            <w:vAlign w:val="center"/>
          </w:tcPr>
          <w:p w14:paraId="737FE05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混凝土及金属结构纳硅防护材料</w:t>
            </w:r>
          </w:p>
        </w:tc>
      </w:tr>
      <w:tr w14:paraId="057DF4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7" w:hRule="exact"/>
          <w:jc w:val="center"/>
        </w:trPr>
        <w:tc>
          <w:tcPr>
            <w:tcW w:w="2113" w:type="dxa"/>
            <w:tcBorders>
              <w:tl2br w:val="nil"/>
              <w:tr2bl w:val="nil"/>
            </w:tcBorders>
            <w:tcMar>
              <w:top w:w="0" w:type="dxa"/>
              <w:left w:w="108" w:type="dxa"/>
              <w:bottom w:w="0" w:type="dxa"/>
              <w:right w:w="108" w:type="dxa"/>
            </w:tcMar>
            <w:vAlign w:val="center"/>
          </w:tcPr>
          <w:p w14:paraId="481C657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6958" w:type="dxa"/>
            <w:gridSpan w:val="5"/>
            <w:tcBorders>
              <w:tl2br w:val="nil"/>
              <w:tr2bl w:val="nil"/>
            </w:tcBorders>
            <w:tcMar>
              <w:top w:w="0" w:type="dxa"/>
              <w:left w:w="108" w:type="dxa"/>
              <w:bottom w:w="0" w:type="dxa"/>
              <w:right w:w="108" w:type="dxa"/>
            </w:tcMar>
            <w:vAlign w:val="center"/>
          </w:tcPr>
          <w:p w14:paraId="4570C5A3">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中基为（重庆）新材料技术研究院有限公司</w:t>
            </w:r>
          </w:p>
          <w:p w14:paraId="3905775F">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sz w:val="24"/>
                <w:szCs w:val="24"/>
              </w:rPr>
              <w:t>重庆卡勒斯通科技有限公司</w:t>
            </w:r>
          </w:p>
        </w:tc>
      </w:tr>
      <w:tr w14:paraId="1A55FB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7" w:hRule="exact"/>
          <w:jc w:val="center"/>
        </w:trPr>
        <w:tc>
          <w:tcPr>
            <w:tcW w:w="2113" w:type="dxa"/>
            <w:tcBorders>
              <w:tl2br w:val="nil"/>
              <w:tr2bl w:val="nil"/>
            </w:tcBorders>
            <w:tcMar>
              <w:top w:w="0" w:type="dxa"/>
              <w:left w:w="108" w:type="dxa"/>
              <w:bottom w:w="0" w:type="dxa"/>
              <w:right w:w="108" w:type="dxa"/>
            </w:tcMar>
            <w:vAlign w:val="center"/>
          </w:tcPr>
          <w:p w14:paraId="6F29670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3482" w:type="dxa"/>
            <w:gridSpan w:val="3"/>
            <w:tcBorders>
              <w:tl2br w:val="nil"/>
              <w:tr2bl w:val="nil"/>
            </w:tcBorders>
            <w:tcMar>
              <w:top w:w="0" w:type="dxa"/>
              <w:left w:w="108" w:type="dxa"/>
              <w:bottom w:w="0" w:type="dxa"/>
              <w:right w:w="108" w:type="dxa"/>
            </w:tcMar>
            <w:vAlign w:val="center"/>
          </w:tcPr>
          <w:p w14:paraId="6ADB131D">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sz w:val="24"/>
                <w:szCs w:val="24"/>
              </w:rPr>
              <w:t>重庆市璧山区璧泉街道东林大道企业天地52号7-10</w:t>
            </w:r>
          </w:p>
        </w:tc>
        <w:tc>
          <w:tcPr>
            <w:tcW w:w="1243" w:type="dxa"/>
            <w:tcBorders>
              <w:tl2br w:val="nil"/>
              <w:tr2bl w:val="nil"/>
            </w:tcBorders>
            <w:tcMar>
              <w:top w:w="0" w:type="dxa"/>
              <w:left w:w="108" w:type="dxa"/>
              <w:bottom w:w="0" w:type="dxa"/>
              <w:right w:w="108" w:type="dxa"/>
            </w:tcMar>
            <w:vAlign w:val="center"/>
          </w:tcPr>
          <w:p w14:paraId="7229345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2233" w:type="dxa"/>
            <w:tcBorders>
              <w:tl2br w:val="nil"/>
              <w:tr2bl w:val="nil"/>
            </w:tcBorders>
            <w:tcMar>
              <w:top w:w="0" w:type="dxa"/>
              <w:left w:w="108" w:type="dxa"/>
              <w:bottom w:w="0" w:type="dxa"/>
              <w:right w:w="108" w:type="dxa"/>
            </w:tcMar>
            <w:vAlign w:val="center"/>
          </w:tcPr>
          <w:p w14:paraId="1D7AE910">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sz w:val="24"/>
                <w:szCs w:val="24"/>
              </w:rPr>
              <w:t>400000</w:t>
            </w:r>
          </w:p>
        </w:tc>
      </w:tr>
      <w:tr w14:paraId="6E9CDE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3" w:type="dxa"/>
            <w:tcBorders>
              <w:tl2br w:val="nil"/>
              <w:tr2bl w:val="nil"/>
            </w:tcBorders>
            <w:tcMar>
              <w:top w:w="0" w:type="dxa"/>
              <w:left w:w="108" w:type="dxa"/>
              <w:bottom w:w="0" w:type="dxa"/>
              <w:right w:w="108" w:type="dxa"/>
            </w:tcMar>
            <w:vAlign w:val="center"/>
          </w:tcPr>
          <w:p w14:paraId="1FEB7C4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法人代表</w:t>
            </w:r>
          </w:p>
        </w:tc>
        <w:tc>
          <w:tcPr>
            <w:tcW w:w="974" w:type="dxa"/>
            <w:tcBorders>
              <w:tl2br w:val="nil"/>
              <w:tr2bl w:val="nil"/>
            </w:tcBorders>
            <w:tcMar>
              <w:top w:w="0" w:type="dxa"/>
              <w:left w:w="108" w:type="dxa"/>
              <w:bottom w:w="0" w:type="dxa"/>
              <w:right w:w="108" w:type="dxa"/>
            </w:tcMar>
            <w:vAlign w:val="center"/>
          </w:tcPr>
          <w:p w14:paraId="67E4357D">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李林</w:t>
            </w:r>
          </w:p>
        </w:tc>
        <w:tc>
          <w:tcPr>
            <w:tcW w:w="923" w:type="dxa"/>
            <w:tcBorders>
              <w:tl2br w:val="nil"/>
              <w:tr2bl w:val="nil"/>
            </w:tcBorders>
            <w:tcMar>
              <w:top w:w="0" w:type="dxa"/>
              <w:left w:w="108" w:type="dxa"/>
              <w:bottom w:w="0" w:type="dxa"/>
              <w:right w:w="108" w:type="dxa"/>
            </w:tcMar>
            <w:vAlign w:val="center"/>
          </w:tcPr>
          <w:p w14:paraId="23DEC8F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职务</w:t>
            </w:r>
          </w:p>
        </w:tc>
        <w:tc>
          <w:tcPr>
            <w:tcW w:w="1585" w:type="dxa"/>
            <w:tcBorders>
              <w:tl2br w:val="nil"/>
              <w:tr2bl w:val="nil"/>
            </w:tcBorders>
            <w:tcMar>
              <w:top w:w="0" w:type="dxa"/>
              <w:left w:w="108" w:type="dxa"/>
              <w:bottom w:w="0" w:type="dxa"/>
              <w:right w:w="108" w:type="dxa"/>
            </w:tcMar>
            <w:vAlign w:val="center"/>
          </w:tcPr>
          <w:p w14:paraId="23E1F1E0">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总经理</w:t>
            </w:r>
          </w:p>
        </w:tc>
        <w:tc>
          <w:tcPr>
            <w:tcW w:w="1243" w:type="dxa"/>
            <w:tcBorders>
              <w:tl2br w:val="nil"/>
              <w:tr2bl w:val="nil"/>
            </w:tcBorders>
            <w:tcMar>
              <w:top w:w="0" w:type="dxa"/>
              <w:left w:w="108" w:type="dxa"/>
              <w:bottom w:w="0" w:type="dxa"/>
              <w:right w:w="108" w:type="dxa"/>
            </w:tcMar>
            <w:vAlign w:val="center"/>
          </w:tcPr>
          <w:p w14:paraId="5B853BC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2233" w:type="dxa"/>
            <w:tcBorders>
              <w:tl2br w:val="nil"/>
              <w:tr2bl w:val="nil"/>
            </w:tcBorders>
            <w:tcMar>
              <w:top w:w="0" w:type="dxa"/>
              <w:left w:w="108" w:type="dxa"/>
              <w:bottom w:w="0" w:type="dxa"/>
              <w:right w:w="108" w:type="dxa"/>
            </w:tcMar>
            <w:vAlign w:val="center"/>
          </w:tcPr>
          <w:p w14:paraId="053E438A">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sz w:val="24"/>
                <w:szCs w:val="24"/>
              </w:rPr>
            </w:pPr>
          </w:p>
        </w:tc>
      </w:tr>
      <w:tr w14:paraId="546F3A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7" w:hRule="exact"/>
          <w:jc w:val="center"/>
        </w:trPr>
        <w:tc>
          <w:tcPr>
            <w:tcW w:w="2113" w:type="dxa"/>
            <w:tcBorders>
              <w:tl2br w:val="nil"/>
              <w:tr2bl w:val="nil"/>
            </w:tcBorders>
            <w:tcMar>
              <w:top w:w="0" w:type="dxa"/>
              <w:left w:w="108" w:type="dxa"/>
              <w:bottom w:w="0" w:type="dxa"/>
              <w:right w:w="108" w:type="dxa"/>
            </w:tcMar>
            <w:vAlign w:val="center"/>
          </w:tcPr>
          <w:p w14:paraId="205604F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974" w:type="dxa"/>
            <w:tcBorders>
              <w:tl2br w:val="nil"/>
              <w:tr2bl w:val="nil"/>
            </w:tcBorders>
            <w:tcMar>
              <w:top w:w="0" w:type="dxa"/>
              <w:left w:w="108" w:type="dxa"/>
              <w:bottom w:w="0" w:type="dxa"/>
              <w:right w:w="108" w:type="dxa"/>
            </w:tcMar>
            <w:vAlign w:val="center"/>
          </w:tcPr>
          <w:p w14:paraId="3BDC6512">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张学明</w:t>
            </w:r>
          </w:p>
        </w:tc>
        <w:tc>
          <w:tcPr>
            <w:tcW w:w="923" w:type="dxa"/>
            <w:tcBorders>
              <w:tl2br w:val="nil"/>
              <w:tr2bl w:val="nil"/>
            </w:tcBorders>
            <w:tcMar>
              <w:top w:w="0" w:type="dxa"/>
              <w:left w:w="108" w:type="dxa"/>
              <w:bottom w:w="0" w:type="dxa"/>
              <w:right w:w="108" w:type="dxa"/>
            </w:tcMar>
            <w:vAlign w:val="center"/>
          </w:tcPr>
          <w:p w14:paraId="426583D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85" w:type="dxa"/>
            <w:tcBorders>
              <w:tl2br w:val="nil"/>
              <w:tr2bl w:val="nil"/>
            </w:tcBorders>
            <w:tcMar>
              <w:top w:w="0" w:type="dxa"/>
              <w:left w:w="108" w:type="dxa"/>
              <w:bottom w:w="0" w:type="dxa"/>
              <w:right w:w="108" w:type="dxa"/>
            </w:tcMar>
            <w:vAlign w:val="center"/>
          </w:tcPr>
          <w:p w14:paraId="5AB6C6DC">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p>
        </w:tc>
        <w:tc>
          <w:tcPr>
            <w:tcW w:w="1243" w:type="dxa"/>
            <w:tcBorders>
              <w:tl2br w:val="nil"/>
              <w:tr2bl w:val="nil"/>
            </w:tcBorders>
            <w:tcMar>
              <w:top w:w="0" w:type="dxa"/>
              <w:left w:w="108" w:type="dxa"/>
              <w:bottom w:w="0" w:type="dxa"/>
              <w:right w:w="108" w:type="dxa"/>
            </w:tcMar>
            <w:vAlign w:val="center"/>
          </w:tcPr>
          <w:p w14:paraId="68C5561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2233" w:type="dxa"/>
            <w:tcBorders>
              <w:tl2br w:val="nil"/>
              <w:tr2bl w:val="nil"/>
            </w:tcBorders>
            <w:tcMar>
              <w:top w:w="0" w:type="dxa"/>
              <w:left w:w="108" w:type="dxa"/>
              <w:bottom w:w="0" w:type="dxa"/>
              <w:right w:w="108" w:type="dxa"/>
            </w:tcMar>
            <w:vAlign w:val="center"/>
          </w:tcPr>
          <w:p w14:paraId="7873F3A8">
            <w:pPr>
              <w:pStyle w:val="10"/>
              <w:keepNext w:val="0"/>
              <w:keepLines w:val="0"/>
              <w:pageBreakBefore w:val="0"/>
              <w:kinsoku/>
              <w:wordWrap/>
              <w:overflowPunct/>
              <w:topLinePunct w:val="0"/>
              <w:autoSpaceDE/>
              <w:autoSpaceDN/>
              <w:bidi w:val="0"/>
              <w:adjustRightInd w:val="0"/>
              <w:snapToGrid w:val="0"/>
              <w:spacing w:beforeAutospacing="0" w:after="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13901193557@139.com</w:t>
            </w:r>
          </w:p>
        </w:tc>
      </w:tr>
      <w:tr w14:paraId="0DFC9F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13" w:type="dxa"/>
            <w:tcBorders>
              <w:tl2br w:val="nil"/>
              <w:tr2bl w:val="nil"/>
            </w:tcBorders>
            <w:tcMar>
              <w:top w:w="0" w:type="dxa"/>
              <w:left w:w="108" w:type="dxa"/>
              <w:bottom w:w="0" w:type="dxa"/>
              <w:right w:w="108" w:type="dxa"/>
            </w:tcMar>
            <w:vAlign w:val="center"/>
          </w:tcPr>
          <w:p w14:paraId="5772E1B3">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6958" w:type="dxa"/>
            <w:gridSpan w:val="5"/>
            <w:tcBorders>
              <w:tl2br w:val="nil"/>
              <w:tr2bl w:val="nil"/>
            </w:tcBorders>
            <w:tcMar>
              <w:top w:w="0" w:type="dxa"/>
              <w:left w:w="108" w:type="dxa"/>
              <w:bottom w:w="0" w:type="dxa"/>
              <w:right w:w="108" w:type="dxa"/>
            </w:tcMar>
            <w:vAlign w:val="center"/>
          </w:tcPr>
          <w:p w14:paraId="7BC6E2E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中基为（重庆）新材料技术研究院有限公司是一家具有国资背景的高科技企业，由重庆高新技术产业研究院与重庆大学科研团队联合组建。设立基础设施（表面）全寿命周期养护及病害防治研发中心，拥有由中国工程院院士领衔的科研团队。立足水利水电领域，致力于解决复杂环境下基础设施（表面）病害防治及耐久性提升的技术难题。</w:t>
            </w:r>
          </w:p>
          <w:p w14:paraId="66F4F0B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重庆卡勒斯通科技有限公司成立于2014年，是一家集纳米涂料的研发、生产、推广及应用为一体的国家高新技术企业。拥有企业级独立研发平台，攻关混凝土及钢结构基础设施表面病灾害治理的科技难题，提供诊断、咨询、设计和管理的关键技术。承担多项国家级科技项目，拥有多项国家发明专利及科技成果。</w:t>
            </w:r>
          </w:p>
        </w:tc>
      </w:tr>
      <w:tr w14:paraId="665B92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13" w:type="dxa"/>
            <w:tcBorders>
              <w:tl2br w:val="nil"/>
              <w:tr2bl w:val="nil"/>
            </w:tcBorders>
            <w:tcMar>
              <w:top w:w="0" w:type="dxa"/>
              <w:left w:w="108" w:type="dxa"/>
              <w:bottom w:w="0" w:type="dxa"/>
              <w:right w:w="108" w:type="dxa"/>
            </w:tcMar>
            <w:vAlign w:val="center"/>
          </w:tcPr>
          <w:p w14:paraId="22F07B5D">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6958" w:type="dxa"/>
            <w:gridSpan w:val="5"/>
            <w:tcBorders>
              <w:tl2br w:val="nil"/>
              <w:tr2bl w:val="nil"/>
            </w:tcBorders>
            <w:tcMar>
              <w:top w:w="0" w:type="dxa"/>
              <w:left w:w="108" w:type="dxa"/>
              <w:bottom w:w="0" w:type="dxa"/>
              <w:right w:w="108" w:type="dxa"/>
            </w:tcMar>
            <w:vAlign w:val="center"/>
          </w:tcPr>
          <w:p w14:paraId="691B582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技术原理：中基为（重庆）新材料技术研究院研发中心综合运用纳米技术、材料科学、化学工程、仿生原理等前沿科技，针对复杂环境下基础设施（表面）养护及病害防治难题，探索混凝土及金属结构（表面）各种病害的致病机理，经过多年理论研究、科技攻关和应用实验，研发形成纳硅核心技术。该技术采用溶胶-凝胶技术制备纳硅粒子，通过硅氧烷偶联剂进行纳硅粒子表面改性，运用纳米自组装技术实现纳硅粒子的可控生长，制备形成具有界面效应、量子尺寸效应、宏观量子隧道效应的纳硅树脂，固化后形成高固含的钝性结晶膜，呈独特的微纳二元粗糙表面结构，兼具二氧化硅的物理、化学稳定性及纳米结构的量子特性。纳硅树脂具有大量的不饱和残键及活性官能团，表现出极强的活性，具备优良的扩展性，可通过水解、缩合、共聚、加成、取代等化学反应形成各类具有结构独特且性能优越的纳硅系列产品，解决复杂环境下混凝土与金属结构（表面）养护与病害防治难题。</w:t>
            </w:r>
          </w:p>
          <w:p w14:paraId="2AE91FE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技术特点：绿色环保，不含甲醛、苯、甲苯、二甲苯和重金属等有害物质；常温下固化成膜；工艺简单，工序简化；性能优越，各项技术指标远高于国家及行业标准；适用性广，能满足各类混凝土及钢结构防护要求；环境适应性强，可适应干湿、冻融、海洋、强腐蚀等环境；后期维护成本低。</w:t>
            </w:r>
          </w:p>
          <w:p w14:paraId="6177AA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3、技术指标：</w:t>
            </w:r>
          </w:p>
          <w:p w14:paraId="5A3A650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混凝土结构纳硅防护涂层：硬度-7H，耐人工加速老化性-10000H，耐水性-5000H，耐酸性-2000H，耐碱性-2000H，抗氯离子渗透-2x10-6</w:t>
            </w:r>
          </w:p>
          <w:p w14:paraId="187E202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金属结构纳硅防腐涂层：硬度-8H，耐人工加速老化性-10000H，耐水性-5000H，耐化学品性-3000H，耐盐水性-5000H，耐盐雾性-4000H</w:t>
            </w:r>
          </w:p>
          <w:p w14:paraId="7F41050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混凝土结构纳硅修复材料：抗剪强度-20MPa，抗拉强度-39Mpa，抗压强度-68.2Mpa，混凝土正拉粘结强度-4.5Mpa</w:t>
            </w:r>
          </w:p>
        </w:tc>
      </w:tr>
      <w:tr w14:paraId="5A61E4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13" w:type="dxa"/>
            <w:tcBorders>
              <w:tl2br w:val="nil"/>
              <w:tr2bl w:val="nil"/>
            </w:tcBorders>
            <w:tcMar>
              <w:top w:w="0" w:type="dxa"/>
              <w:left w:w="108" w:type="dxa"/>
              <w:bottom w:w="0" w:type="dxa"/>
              <w:right w:w="108" w:type="dxa"/>
            </w:tcMar>
            <w:vAlign w:val="center"/>
          </w:tcPr>
          <w:p w14:paraId="1ACF66E3">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主要完成人</w:t>
            </w:r>
          </w:p>
        </w:tc>
        <w:tc>
          <w:tcPr>
            <w:tcW w:w="6958" w:type="dxa"/>
            <w:gridSpan w:val="5"/>
            <w:tcBorders>
              <w:tl2br w:val="nil"/>
              <w:tr2bl w:val="nil"/>
            </w:tcBorders>
            <w:tcMar>
              <w:top w:w="0" w:type="dxa"/>
              <w:left w:w="108" w:type="dxa"/>
              <w:bottom w:w="0" w:type="dxa"/>
              <w:right w:w="108" w:type="dxa"/>
            </w:tcMar>
            <w:vAlign w:val="center"/>
          </w:tcPr>
          <w:p w14:paraId="4A2B206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殷黎明、李林、吕雁滨、张学明、傅豪</w:t>
            </w:r>
          </w:p>
        </w:tc>
      </w:tr>
      <w:tr w14:paraId="25556E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52" w:hRule="atLeast"/>
          <w:jc w:val="center"/>
        </w:trPr>
        <w:tc>
          <w:tcPr>
            <w:tcW w:w="2113" w:type="dxa"/>
            <w:tcBorders>
              <w:tl2br w:val="nil"/>
              <w:tr2bl w:val="nil"/>
            </w:tcBorders>
            <w:tcMar>
              <w:top w:w="0" w:type="dxa"/>
              <w:left w:w="108" w:type="dxa"/>
              <w:bottom w:w="0" w:type="dxa"/>
              <w:right w:w="108" w:type="dxa"/>
            </w:tcMar>
            <w:vAlign w:val="center"/>
          </w:tcPr>
          <w:p w14:paraId="5CD7C2E8">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6958" w:type="dxa"/>
            <w:gridSpan w:val="5"/>
            <w:tcBorders>
              <w:tl2br w:val="nil"/>
              <w:tr2bl w:val="nil"/>
            </w:tcBorders>
            <w:tcMar>
              <w:top w:w="0" w:type="dxa"/>
              <w:left w:w="108" w:type="dxa"/>
              <w:bottom w:w="0" w:type="dxa"/>
              <w:right w:w="108" w:type="dxa"/>
            </w:tcMar>
            <w:vAlign w:val="center"/>
          </w:tcPr>
          <w:p w14:paraId="5D7C6AD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1、发明专利：</w:t>
            </w:r>
          </w:p>
          <w:p w14:paraId="4147BBD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一种混凝土表面防碳化纳米涂料及其制作工艺ZL201610069430.8</w:t>
            </w:r>
          </w:p>
          <w:p w14:paraId="572EBEB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一种表面自清洁纳米涂料及其制作工艺ZL201610069314.6</w:t>
            </w:r>
          </w:p>
          <w:p w14:paraId="3D4D5BD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一种纳米阻燃涂料及其制备工艺ZL201510982357.9</w:t>
            </w:r>
          </w:p>
          <w:p w14:paraId="047B05D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一种仿石材纳米涂料及其制作工艺ZL201510205207.7</w:t>
            </w:r>
          </w:p>
          <w:p w14:paraId="0695630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温变条件下混凝土静水渗透压力测试装置ZL201710773323.8</w:t>
            </w:r>
          </w:p>
          <w:p w14:paraId="03560D2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一种木材表面防护纳米涂料及其制作工艺ZL201510207666.9</w:t>
            </w:r>
          </w:p>
          <w:p w14:paraId="1885F86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2、实用新型专利：</w:t>
            </w:r>
          </w:p>
          <w:p w14:paraId="458C12C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一种多功能海港钢表面防腐处理滚筒刷ZL201720919278.8</w:t>
            </w:r>
          </w:p>
          <w:p w14:paraId="0035FE2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一种海港混凝土结构纳米涂料涂覆工具ZL201720919306.6</w:t>
            </w:r>
          </w:p>
          <w:p w14:paraId="06B931B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一种桥梁混凝土防撞护栏纳米涂料涂</w:t>
            </w:r>
            <w:r>
              <w:rPr>
                <w:rFonts w:hint="eastAsia" w:ascii="宋体" w:hAnsi="宋体" w:eastAsia="宋体" w:cs="Times New Roman"/>
                <w:kern w:val="0"/>
                <w:sz w:val="24"/>
                <w:szCs w:val="24"/>
                <w:lang w:val="en-US" w:eastAsia="zh-CN" w:bidi="ar-SA"/>
              </w:rPr>
              <w:t>装</w:t>
            </w:r>
            <w:r>
              <w:rPr>
                <w:rFonts w:hint="default" w:ascii="宋体" w:hAnsi="宋体" w:eastAsia="宋体" w:cs="Times New Roman"/>
                <w:kern w:val="0"/>
                <w:sz w:val="24"/>
                <w:szCs w:val="24"/>
                <w:lang w:val="en-US" w:eastAsia="zh-CN" w:bidi="ar-SA"/>
              </w:rPr>
              <w:t>ZL201720919305.1</w:t>
            </w:r>
          </w:p>
          <w:p w14:paraId="6E81F3E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一种全气候条件下防腐涂层耐候性测试装置ZL201721108512.5</w:t>
            </w:r>
          </w:p>
          <w:p w14:paraId="12412E7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一种隧道混凝土衬砌纳米涂料涂装设备ZL201720919316.X</w:t>
            </w:r>
          </w:p>
          <w:p w14:paraId="56C7909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一种温变条件下混凝土静水渗透压力测试装置ZL201721109188.9</w:t>
            </w:r>
          </w:p>
          <w:p w14:paraId="7DDC971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一种坝体潮湿廊道防护涂料涂装装置ZL202323022433.0</w:t>
            </w:r>
          </w:p>
          <w:p w14:paraId="3F4D0DB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一种钢闸门打磨除锈装置ZL202322360855.2</w:t>
            </w:r>
          </w:p>
          <w:p w14:paraId="680CF78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一种桥墩防护涂层防撞耐磨测试装置ZL202322316107.4</w:t>
            </w:r>
          </w:p>
          <w:p w14:paraId="0D01E97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一种水工混凝土结构表面打磨装置ZL202322598189.6</w:t>
            </w:r>
          </w:p>
          <w:p w14:paraId="03DD4D4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一种水工混凝土结构防护材料抗冲磨性能测试装置ZL202322886108.2</w:t>
            </w:r>
          </w:p>
          <w:p w14:paraId="0E3881E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一种水利水位标尺涂刷设备ZL202323204389.5</w:t>
            </w:r>
          </w:p>
        </w:tc>
      </w:tr>
      <w:tr w14:paraId="62A95C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13" w:type="dxa"/>
            <w:tcBorders>
              <w:tl2br w:val="nil"/>
              <w:tr2bl w:val="nil"/>
            </w:tcBorders>
            <w:tcMar>
              <w:top w:w="0" w:type="dxa"/>
              <w:left w:w="108" w:type="dxa"/>
              <w:bottom w:w="0" w:type="dxa"/>
              <w:right w:w="108" w:type="dxa"/>
            </w:tcMar>
            <w:vAlign w:val="center"/>
          </w:tcPr>
          <w:p w14:paraId="37FDE489">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6958" w:type="dxa"/>
            <w:gridSpan w:val="5"/>
            <w:tcBorders>
              <w:tl2br w:val="nil"/>
              <w:tr2bl w:val="nil"/>
            </w:tcBorders>
            <w:tcMar>
              <w:top w:w="0" w:type="dxa"/>
              <w:left w:w="108" w:type="dxa"/>
              <w:bottom w:w="0" w:type="dxa"/>
              <w:right w:w="108" w:type="dxa"/>
            </w:tcMar>
            <w:vAlign w:val="center"/>
          </w:tcPr>
          <w:p w14:paraId="7885BAB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适用范围：适用于水工建筑物中混凝土及金属结构缺陷修复，抗冲磨，耐久性提升，防腐蚀，防碳化，防生物侵蚀等。</w:t>
            </w:r>
          </w:p>
          <w:p w14:paraId="1144A0E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解决的具体问题：“纳硅”涂层材料用于各种混凝土及钢结构表面防护，常温下在基材表面形成了一层厚50-100微米致密的钝性结晶膜，以解决如下问题：</w:t>
            </w:r>
          </w:p>
          <w:p w14:paraId="40A4DE0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w:t>
            </w:r>
            <w:r>
              <w:rPr>
                <w:rFonts w:hint="default" w:ascii="宋体" w:hAnsi="宋体" w:eastAsia="宋体" w:cs="Times New Roman"/>
                <w:kern w:val="0"/>
                <w:sz w:val="24"/>
                <w:szCs w:val="24"/>
                <w:lang w:val="en-US" w:eastAsia="zh-CN" w:bidi="ar-SA"/>
              </w:rPr>
              <w:tab/>
            </w:r>
            <w:r>
              <w:rPr>
                <w:rFonts w:hint="default" w:ascii="宋体" w:hAnsi="宋体" w:eastAsia="宋体" w:cs="Times New Roman"/>
                <w:kern w:val="0"/>
                <w:sz w:val="24"/>
                <w:szCs w:val="24"/>
                <w:lang w:val="en-US" w:eastAsia="zh-CN" w:bidi="ar-SA"/>
              </w:rPr>
              <w:t>混凝土构筑物：</w:t>
            </w:r>
            <w:r>
              <w:rPr>
                <w:rFonts w:hint="eastAsia" w:ascii="宋体" w:hAnsi="宋体" w:eastAsia="宋体" w:cs="Times New Roman"/>
                <w:kern w:val="0"/>
                <w:sz w:val="24"/>
                <w:szCs w:val="24"/>
                <w:lang w:val="en-US" w:eastAsia="zh-CN" w:bidi="ar-SA"/>
              </w:rPr>
              <w:t>炭化</w:t>
            </w:r>
            <w:r>
              <w:rPr>
                <w:rFonts w:hint="default" w:ascii="宋体" w:hAnsi="宋体" w:eastAsia="宋体" w:cs="Times New Roman"/>
                <w:kern w:val="0"/>
                <w:sz w:val="24"/>
                <w:szCs w:val="24"/>
                <w:lang w:val="en-US" w:eastAsia="zh-CN" w:bidi="ar-SA"/>
              </w:rPr>
              <w:t>、老化、氯离子渗透、硫酸根离子腐蚀、钢筋混凝土保护层厚度不足、生物侵蚀。抗冲磨，耐磨损</w:t>
            </w:r>
          </w:p>
          <w:p w14:paraId="4E29BF6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w:t>
            </w:r>
            <w:r>
              <w:rPr>
                <w:rFonts w:hint="default" w:ascii="宋体" w:hAnsi="宋体" w:eastAsia="宋体" w:cs="Times New Roman"/>
                <w:kern w:val="0"/>
                <w:sz w:val="24"/>
                <w:szCs w:val="24"/>
                <w:lang w:val="en-US" w:eastAsia="zh-CN" w:bidi="ar-SA"/>
              </w:rPr>
              <w:tab/>
            </w:r>
            <w:r>
              <w:rPr>
                <w:rFonts w:hint="default" w:ascii="宋体" w:hAnsi="宋体" w:eastAsia="宋体" w:cs="Times New Roman"/>
                <w:kern w:val="0"/>
                <w:sz w:val="24"/>
                <w:szCs w:val="24"/>
                <w:lang w:val="en-US" w:eastAsia="zh-CN" w:bidi="ar-SA"/>
              </w:rPr>
              <w:t>钢结构构筑物：氧化锈蚀、酸碱腐蚀、盐雾腐蚀、电化学腐蚀。</w:t>
            </w:r>
          </w:p>
        </w:tc>
      </w:tr>
      <w:tr w14:paraId="731502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13" w:type="dxa"/>
            <w:tcBorders>
              <w:tl2br w:val="nil"/>
              <w:tr2bl w:val="nil"/>
            </w:tcBorders>
            <w:tcMar>
              <w:top w:w="0" w:type="dxa"/>
              <w:left w:w="108" w:type="dxa"/>
              <w:bottom w:w="0" w:type="dxa"/>
              <w:right w:w="108" w:type="dxa"/>
            </w:tcMar>
            <w:vAlign w:val="center"/>
          </w:tcPr>
          <w:p w14:paraId="33A6545D">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6958" w:type="dxa"/>
            <w:gridSpan w:val="5"/>
            <w:tcBorders>
              <w:tl2br w:val="nil"/>
              <w:tr2bl w:val="nil"/>
            </w:tcBorders>
            <w:tcMar>
              <w:top w:w="0" w:type="dxa"/>
              <w:left w:w="108" w:type="dxa"/>
              <w:bottom w:w="0" w:type="dxa"/>
              <w:right w:w="108" w:type="dxa"/>
            </w:tcMar>
            <w:vAlign w:val="center"/>
          </w:tcPr>
          <w:p w14:paraId="4587718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一、河南五岳抽水蓄能电站：应用规模2800㎡，168</w:t>
            </w:r>
            <w:r>
              <w:rPr>
                <w:rFonts w:hint="eastAsia" w:ascii="宋体" w:hAnsi="宋体" w:eastAsia="宋体" w:cs="Times New Roman"/>
                <w:kern w:val="0"/>
                <w:sz w:val="24"/>
                <w:szCs w:val="24"/>
                <w:lang w:val="en-US" w:eastAsia="zh-CN" w:bidi="ar-SA"/>
              </w:rPr>
              <w:t>万元</w:t>
            </w:r>
          </w:p>
          <w:p w14:paraId="4976462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混凝土结构纳硅防护材料品质优良，性能突出，具有极强的抗冲磨能力，有效增强了混凝土结构的表面强度。在混凝土修复及抗冲磨领域具有广阔的应用推广价值。金属结构纳硅防护材料技术成</w:t>
            </w:r>
            <w:r>
              <w:rPr>
                <w:rFonts w:hint="eastAsia" w:ascii="宋体" w:hAnsi="宋体" w:eastAsia="宋体" w:cs="Times New Roman"/>
                <w:kern w:val="0"/>
                <w:sz w:val="24"/>
                <w:szCs w:val="24"/>
                <w:lang w:val="en-US" w:eastAsia="zh-CN" w:bidi="ar-SA"/>
              </w:rPr>
              <w:t>熟</w:t>
            </w:r>
            <w:r>
              <w:rPr>
                <w:rFonts w:hint="default" w:ascii="宋体" w:hAnsi="宋体" w:eastAsia="宋体" w:cs="Times New Roman"/>
                <w:kern w:val="0"/>
                <w:sz w:val="24"/>
                <w:szCs w:val="24"/>
                <w:lang w:val="en-US" w:eastAsia="zh-CN" w:bidi="ar-SA"/>
              </w:rPr>
              <w:t>可靠，施工便捷，无须任何特殊设备，普通工人很容易掌握该涂层施工技术，涂层性能卓越，具有极强的耐候性、耐水性、耐化学品性能。尤其在水利水电工程复杂环境下的金属结构防腐领域具有广阔的推广应用前景。</w:t>
            </w:r>
          </w:p>
          <w:p w14:paraId="1B44B3A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二、福建省罗源霍口水库工程：应用规模4500㎡，157</w:t>
            </w:r>
            <w:r>
              <w:rPr>
                <w:rFonts w:hint="eastAsia" w:ascii="宋体" w:hAnsi="宋体" w:eastAsia="宋体" w:cs="Times New Roman"/>
                <w:kern w:val="0"/>
                <w:sz w:val="24"/>
                <w:szCs w:val="24"/>
                <w:lang w:val="en-US" w:eastAsia="zh-CN" w:bidi="ar-SA"/>
              </w:rPr>
              <w:t>万元</w:t>
            </w:r>
          </w:p>
          <w:p w14:paraId="3048E9B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混凝土结构修复及抗冲磨纳硅防护材料质量优良，性能卓越。极大增强了混凝土表面强度及抗冲磨性能。金属结构防腐纳硅材料，在本项目中得到了推广应用，有效解决了金属结构的腐蚀问题。该产品综合了纳米结构和石墨烯材料的性能优势，能有效提升金属结构的防腐年限。该技术具有十分广阔的推广价值。</w:t>
            </w:r>
          </w:p>
        </w:tc>
      </w:tr>
    </w:tbl>
    <w:p w14:paraId="3D8656F3">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2" w:name="_Toc3839"/>
      <w:r>
        <w:rPr>
          <w:rFonts w:hint="default" w:ascii="宋体" w:hAnsi="宋体" w:cs="Times New Roman"/>
          <w:sz w:val="28"/>
          <w:szCs w:val="28"/>
          <w:lang w:val="en-US" w:eastAsia="zh-CN"/>
        </w:rPr>
        <w:t>3.</w:t>
      </w:r>
      <w:r>
        <w:rPr>
          <w:rFonts w:hint="eastAsia" w:ascii="宋体" w:hAnsi="宋体" w:cs="Times New Roman"/>
          <w:sz w:val="28"/>
          <w:szCs w:val="28"/>
          <w:lang w:val="en-US" w:eastAsia="zh-CN"/>
        </w:rPr>
        <w:t>5</w:t>
      </w:r>
      <w:r>
        <w:rPr>
          <w:rFonts w:hint="default" w:ascii="宋体" w:hAnsi="宋体" w:cs="Times New Roman"/>
          <w:sz w:val="28"/>
          <w:szCs w:val="28"/>
          <w:lang w:val="en-US" w:eastAsia="zh-CN"/>
        </w:rPr>
        <w:t xml:space="preserve"> 高压脉冲电控淡水壳菜幼虫防治技术</w:t>
      </w:r>
      <w:bookmarkEnd w:id="22"/>
    </w:p>
    <w:tbl>
      <w:tblPr>
        <w:tblStyle w:val="28"/>
        <w:tblW w:w="943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16"/>
        <w:gridCol w:w="1628"/>
        <w:gridCol w:w="1125"/>
        <w:gridCol w:w="1664"/>
        <w:gridCol w:w="1211"/>
        <w:gridCol w:w="1689"/>
      </w:tblGrid>
      <w:tr w14:paraId="6126E2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6" w:type="dxa"/>
            <w:tcBorders>
              <w:tl2br w:val="nil"/>
              <w:tr2bl w:val="nil"/>
            </w:tcBorders>
            <w:tcMar>
              <w:top w:w="0" w:type="dxa"/>
              <w:left w:w="108" w:type="dxa"/>
              <w:bottom w:w="0" w:type="dxa"/>
              <w:right w:w="108" w:type="dxa"/>
            </w:tcMar>
            <w:vAlign w:val="center"/>
          </w:tcPr>
          <w:p w14:paraId="09B402B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317" w:type="dxa"/>
            <w:gridSpan w:val="5"/>
            <w:tcBorders>
              <w:tl2br w:val="nil"/>
              <w:tr2bl w:val="nil"/>
            </w:tcBorders>
            <w:tcMar>
              <w:top w:w="0" w:type="dxa"/>
              <w:left w:w="108" w:type="dxa"/>
              <w:bottom w:w="0" w:type="dxa"/>
              <w:right w:w="108" w:type="dxa"/>
            </w:tcMar>
            <w:vAlign w:val="center"/>
          </w:tcPr>
          <w:p w14:paraId="7C09E8E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highlight w:val="none"/>
                <w:lang w:val="en-US" w:eastAsia="zh-CN"/>
              </w:rPr>
              <w:t>高压脉冲电控淡水壳菜幼虫防治技术</w:t>
            </w:r>
          </w:p>
        </w:tc>
      </w:tr>
      <w:tr w14:paraId="705546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6" w:type="dxa"/>
            <w:tcBorders>
              <w:tl2br w:val="nil"/>
              <w:tr2bl w:val="nil"/>
            </w:tcBorders>
            <w:tcMar>
              <w:top w:w="0" w:type="dxa"/>
              <w:left w:w="108" w:type="dxa"/>
              <w:bottom w:w="0" w:type="dxa"/>
              <w:right w:w="108" w:type="dxa"/>
            </w:tcMar>
            <w:vAlign w:val="center"/>
          </w:tcPr>
          <w:p w14:paraId="73AB4F1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317" w:type="dxa"/>
            <w:gridSpan w:val="5"/>
            <w:tcBorders>
              <w:tl2br w:val="nil"/>
              <w:tr2bl w:val="nil"/>
            </w:tcBorders>
            <w:tcMar>
              <w:top w:w="0" w:type="dxa"/>
              <w:left w:w="108" w:type="dxa"/>
              <w:bottom w:w="0" w:type="dxa"/>
              <w:right w:w="108" w:type="dxa"/>
            </w:tcMar>
            <w:vAlign w:val="center"/>
          </w:tcPr>
          <w:p w14:paraId="6FBDD4E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rPr>
            </w:pPr>
            <w:r>
              <w:rPr>
                <w:rFonts w:hint="default" w:ascii="宋体" w:hAnsi="宋体" w:cs="Times New Roman" w:eastAsiaTheme="minorEastAsia"/>
                <w:kern w:val="0"/>
                <w:sz w:val="24"/>
                <w:szCs w:val="24"/>
                <w:lang w:val="en-US" w:eastAsia="zh-CN"/>
              </w:rPr>
              <w:t>长江水利委员会长江科学院</w:t>
            </w:r>
          </w:p>
        </w:tc>
      </w:tr>
      <w:tr w14:paraId="53CB07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6" w:type="dxa"/>
            <w:tcBorders>
              <w:tl2br w:val="nil"/>
              <w:tr2bl w:val="nil"/>
            </w:tcBorders>
            <w:tcMar>
              <w:top w:w="0" w:type="dxa"/>
              <w:left w:w="108" w:type="dxa"/>
              <w:bottom w:w="0" w:type="dxa"/>
              <w:right w:w="108" w:type="dxa"/>
            </w:tcMar>
            <w:vAlign w:val="center"/>
          </w:tcPr>
          <w:p w14:paraId="2C561CC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4417" w:type="dxa"/>
            <w:gridSpan w:val="3"/>
            <w:tcBorders>
              <w:tl2br w:val="nil"/>
              <w:tr2bl w:val="nil"/>
            </w:tcBorders>
            <w:tcMar>
              <w:top w:w="0" w:type="dxa"/>
              <w:left w:w="108" w:type="dxa"/>
              <w:bottom w:w="0" w:type="dxa"/>
              <w:right w:w="108" w:type="dxa"/>
            </w:tcMar>
            <w:vAlign w:val="center"/>
          </w:tcPr>
          <w:p w14:paraId="3B0220E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湖北省武汉市江岸区黄浦大街23号</w:t>
            </w:r>
          </w:p>
        </w:tc>
        <w:tc>
          <w:tcPr>
            <w:tcW w:w="1211" w:type="dxa"/>
            <w:tcBorders>
              <w:tl2br w:val="nil"/>
              <w:tr2bl w:val="nil"/>
            </w:tcBorders>
            <w:tcMar>
              <w:top w:w="0" w:type="dxa"/>
              <w:left w:w="108" w:type="dxa"/>
              <w:bottom w:w="0" w:type="dxa"/>
              <w:right w:w="108" w:type="dxa"/>
            </w:tcMar>
            <w:vAlign w:val="center"/>
          </w:tcPr>
          <w:p w14:paraId="501D899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689" w:type="dxa"/>
            <w:tcBorders>
              <w:tl2br w:val="nil"/>
              <w:tr2bl w:val="nil"/>
            </w:tcBorders>
            <w:tcMar>
              <w:top w:w="0" w:type="dxa"/>
              <w:left w:w="108" w:type="dxa"/>
              <w:bottom w:w="0" w:type="dxa"/>
              <w:right w:w="108" w:type="dxa"/>
            </w:tcMar>
            <w:vAlign w:val="center"/>
          </w:tcPr>
          <w:p w14:paraId="41F933A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430010</w:t>
            </w:r>
          </w:p>
        </w:tc>
      </w:tr>
      <w:tr w14:paraId="73BD1F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16" w:type="dxa"/>
            <w:tcBorders>
              <w:tl2br w:val="nil"/>
              <w:tr2bl w:val="nil"/>
            </w:tcBorders>
            <w:tcMar>
              <w:top w:w="0" w:type="dxa"/>
              <w:left w:w="108" w:type="dxa"/>
              <w:bottom w:w="0" w:type="dxa"/>
              <w:right w:w="108" w:type="dxa"/>
            </w:tcMar>
            <w:vAlign w:val="center"/>
          </w:tcPr>
          <w:p w14:paraId="5C8BF2B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628" w:type="dxa"/>
            <w:tcBorders>
              <w:tl2br w:val="nil"/>
              <w:tr2bl w:val="nil"/>
            </w:tcBorders>
            <w:tcMar>
              <w:top w:w="0" w:type="dxa"/>
              <w:left w:w="108" w:type="dxa"/>
              <w:bottom w:w="0" w:type="dxa"/>
              <w:right w:w="108" w:type="dxa"/>
            </w:tcMar>
            <w:vAlign w:val="center"/>
          </w:tcPr>
          <w:p w14:paraId="7BFD933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许全喜</w:t>
            </w:r>
          </w:p>
        </w:tc>
        <w:tc>
          <w:tcPr>
            <w:tcW w:w="1125" w:type="dxa"/>
            <w:tcBorders>
              <w:tl2br w:val="nil"/>
              <w:tr2bl w:val="nil"/>
            </w:tcBorders>
            <w:tcMar>
              <w:top w:w="0" w:type="dxa"/>
              <w:left w:w="108" w:type="dxa"/>
              <w:bottom w:w="0" w:type="dxa"/>
              <w:right w:w="108" w:type="dxa"/>
            </w:tcMar>
            <w:vAlign w:val="center"/>
          </w:tcPr>
          <w:p w14:paraId="144F83F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664" w:type="dxa"/>
            <w:tcBorders>
              <w:tl2br w:val="nil"/>
              <w:tr2bl w:val="nil"/>
            </w:tcBorders>
            <w:tcMar>
              <w:top w:w="0" w:type="dxa"/>
              <w:left w:w="108" w:type="dxa"/>
              <w:bottom w:w="0" w:type="dxa"/>
              <w:right w:w="108" w:type="dxa"/>
            </w:tcMar>
            <w:vAlign w:val="center"/>
          </w:tcPr>
          <w:p w14:paraId="3070377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院长</w:t>
            </w:r>
          </w:p>
        </w:tc>
        <w:tc>
          <w:tcPr>
            <w:tcW w:w="1211" w:type="dxa"/>
            <w:tcBorders>
              <w:tl2br w:val="nil"/>
              <w:tr2bl w:val="nil"/>
            </w:tcBorders>
            <w:tcMar>
              <w:top w:w="0" w:type="dxa"/>
              <w:left w:w="108" w:type="dxa"/>
              <w:bottom w:w="0" w:type="dxa"/>
              <w:right w:w="108" w:type="dxa"/>
            </w:tcMar>
            <w:vAlign w:val="center"/>
          </w:tcPr>
          <w:p w14:paraId="11853C2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1689" w:type="dxa"/>
            <w:tcBorders>
              <w:tl2br w:val="nil"/>
              <w:tr2bl w:val="nil"/>
            </w:tcBorders>
            <w:tcMar>
              <w:top w:w="0" w:type="dxa"/>
              <w:left w:w="108" w:type="dxa"/>
              <w:bottom w:w="0" w:type="dxa"/>
              <w:right w:w="108" w:type="dxa"/>
            </w:tcMar>
            <w:vAlign w:val="center"/>
          </w:tcPr>
          <w:p w14:paraId="6557DCD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027-828</w:t>
            </w:r>
            <w:r>
              <w:rPr>
                <w:rFonts w:hint="default" w:ascii="宋体" w:hAnsi="宋体" w:cs="Times New Roman" w:eastAsiaTheme="minorEastAsia"/>
                <w:kern w:val="0"/>
                <w:sz w:val="24"/>
                <w:szCs w:val="24"/>
              </w:rPr>
              <w:t>29707</w:t>
            </w:r>
          </w:p>
        </w:tc>
      </w:tr>
      <w:tr w14:paraId="2DD417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7" w:hRule="exact"/>
          <w:jc w:val="center"/>
        </w:trPr>
        <w:tc>
          <w:tcPr>
            <w:tcW w:w="2116" w:type="dxa"/>
            <w:tcBorders>
              <w:tl2br w:val="nil"/>
              <w:tr2bl w:val="nil"/>
            </w:tcBorders>
            <w:tcMar>
              <w:top w:w="0" w:type="dxa"/>
              <w:left w:w="108" w:type="dxa"/>
              <w:bottom w:w="0" w:type="dxa"/>
              <w:right w:w="108" w:type="dxa"/>
            </w:tcMar>
            <w:vAlign w:val="center"/>
          </w:tcPr>
          <w:p w14:paraId="0C8A7ED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628" w:type="dxa"/>
            <w:tcBorders>
              <w:tl2br w:val="nil"/>
              <w:tr2bl w:val="nil"/>
            </w:tcBorders>
            <w:tcMar>
              <w:top w:w="0" w:type="dxa"/>
              <w:left w:w="108" w:type="dxa"/>
              <w:bottom w:w="0" w:type="dxa"/>
              <w:right w:w="108" w:type="dxa"/>
            </w:tcMar>
            <w:vAlign w:val="center"/>
          </w:tcPr>
          <w:p w14:paraId="3850323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贡丹丹</w:t>
            </w:r>
          </w:p>
        </w:tc>
        <w:tc>
          <w:tcPr>
            <w:tcW w:w="1125" w:type="dxa"/>
            <w:tcBorders>
              <w:tl2br w:val="nil"/>
              <w:tr2bl w:val="nil"/>
            </w:tcBorders>
            <w:tcMar>
              <w:top w:w="0" w:type="dxa"/>
              <w:left w:w="108" w:type="dxa"/>
              <w:bottom w:w="0" w:type="dxa"/>
              <w:right w:w="108" w:type="dxa"/>
            </w:tcMar>
            <w:vAlign w:val="center"/>
          </w:tcPr>
          <w:p w14:paraId="028862D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664" w:type="dxa"/>
            <w:tcBorders>
              <w:tl2br w:val="nil"/>
              <w:tr2bl w:val="nil"/>
            </w:tcBorders>
            <w:tcMar>
              <w:top w:w="0" w:type="dxa"/>
              <w:left w:w="108" w:type="dxa"/>
              <w:bottom w:w="0" w:type="dxa"/>
              <w:right w:w="108" w:type="dxa"/>
            </w:tcMar>
            <w:vAlign w:val="center"/>
          </w:tcPr>
          <w:p w14:paraId="762A8B4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027-828</w:t>
            </w:r>
            <w:r>
              <w:rPr>
                <w:rFonts w:hint="default" w:ascii="宋体" w:hAnsi="宋体" w:cs="Times New Roman" w:eastAsiaTheme="minorEastAsia"/>
                <w:kern w:val="0"/>
                <w:sz w:val="24"/>
                <w:szCs w:val="24"/>
              </w:rPr>
              <w:t>29707</w:t>
            </w:r>
          </w:p>
        </w:tc>
        <w:tc>
          <w:tcPr>
            <w:tcW w:w="1211" w:type="dxa"/>
            <w:tcBorders>
              <w:tl2br w:val="nil"/>
              <w:tr2bl w:val="nil"/>
            </w:tcBorders>
            <w:tcMar>
              <w:top w:w="0" w:type="dxa"/>
              <w:left w:w="108" w:type="dxa"/>
              <w:bottom w:w="0" w:type="dxa"/>
              <w:right w:w="108" w:type="dxa"/>
            </w:tcMar>
            <w:vAlign w:val="center"/>
          </w:tcPr>
          <w:p w14:paraId="18D1121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689" w:type="dxa"/>
            <w:tcBorders>
              <w:tl2br w:val="nil"/>
              <w:tr2bl w:val="nil"/>
            </w:tcBorders>
            <w:tcMar>
              <w:top w:w="0" w:type="dxa"/>
              <w:left w:w="108" w:type="dxa"/>
              <w:bottom w:w="0" w:type="dxa"/>
              <w:right w:w="108" w:type="dxa"/>
            </w:tcMar>
            <w:vAlign w:val="center"/>
          </w:tcPr>
          <w:p w14:paraId="6149007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285986314</w:t>
            </w:r>
          </w:p>
          <w:p w14:paraId="50EF5B6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w:t>
            </w:r>
            <w:r>
              <w:rPr>
                <w:rFonts w:hint="default" w:ascii="宋体" w:hAnsi="宋体" w:cs="Times New Roman" w:eastAsiaTheme="minorEastAsia"/>
                <w:kern w:val="0"/>
                <w:sz w:val="24"/>
                <w:szCs w:val="24"/>
                <w:lang w:val="en-US" w:eastAsia="zh-CN"/>
              </w:rPr>
              <w:t>qq</w:t>
            </w:r>
            <w:r>
              <w:rPr>
                <w:rFonts w:hint="default" w:ascii="宋体" w:hAnsi="宋体" w:cs="Times New Roman" w:eastAsiaTheme="minorEastAsia"/>
                <w:kern w:val="0"/>
                <w:sz w:val="24"/>
                <w:szCs w:val="24"/>
              </w:rPr>
              <w:t>.com</w:t>
            </w:r>
          </w:p>
        </w:tc>
      </w:tr>
      <w:tr w14:paraId="5F43B7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16" w:type="dxa"/>
            <w:tcBorders>
              <w:tl2br w:val="nil"/>
              <w:tr2bl w:val="nil"/>
            </w:tcBorders>
            <w:tcMar>
              <w:top w:w="0" w:type="dxa"/>
              <w:left w:w="108" w:type="dxa"/>
              <w:bottom w:w="0" w:type="dxa"/>
              <w:right w:w="108" w:type="dxa"/>
            </w:tcMar>
            <w:vAlign w:val="center"/>
          </w:tcPr>
          <w:p w14:paraId="07F08636">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317" w:type="dxa"/>
            <w:gridSpan w:val="5"/>
            <w:tcBorders>
              <w:tl2br w:val="nil"/>
              <w:tr2bl w:val="nil"/>
            </w:tcBorders>
            <w:tcMar>
              <w:top w:w="0" w:type="dxa"/>
              <w:left w:w="108" w:type="dxa"/>
              <w:bottom w:w="0" w:type="dxa"/>
              <w:right w:w="108" w:type="dxa"/>
            </w:tcMar>
            <w:vAlign w:val="center"/>
          </w:tcPr>
          <w:p w14:paraId="1D44DAC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长江水利委员会长江科学院（简称“长科院”）创建于1951年。在多地建有科研基地，拥有各类实体模型试验厅20余座，建有15个科技创新平台。现有国家、省部级专家80余人，荣获国家、省部级奖励300余项，授权专利900余项，主编或参编技术标准120余部。近年来，长科院围绕河湖生态保护治理、水利水电工程建设运行等领域开展了大量研究工作，面向国民经济建设相关行业开展涉水科技服务，为推动长江生态文明建设和水利科技进步作出重大贡献。</w:t>
            </w:r>
          </w:p>
        </w:tc>
      </w:tr>
      <w:tr w14:paraId="432B1E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16" w:type="dxa"/>
            <w:tcBorders>
              <w:tl2br w:val="nil"/>
              <w:tr2bl w:val="nil"/>
            </w:tcBorders>
            <w:tcMar>
              <w:top w:w="0" w:type="dxa"/>
              <w:left w:w="108" w:type="dxa"/>
              <w:bottom w:w="0" w:type="dxa"/>
              <w:right w:w="108" w:type="dxa"/>
            </w:tcMar>
            <w:vAlign w:val="center"/>
          </w:tcPr>
          <w:p w14:paraId="75516D37">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spacing w:val="4"/>
                <w:kern w:val="0"/>
                <w:sz w:val="24"/>
                <w:szCs w:val="24"/>
              </w:rPr>
            </w:pPr>
            <w:r>
              <w:rPr>
                <w:rFonts w:hint="default" w:ascii="宋体" w:hAnsi="宋体" w:cs="Times New Roman" w:eastAsiaTheme="minorEastAsia"/>
                <w:kern w:val="0"/>
                <w:sz w:val="24"/>
                <w:szCs w:val="24"/>
              </w:rPr>
              <w:t>技术（产品）简介</w:t>
            </w:r>
          </w:p>
          <w:p w14:paraId="29D68D9D">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p>
        </w:tc>
        <w:tc>
          <w:tcPr>
            <w:tcW w:w="7317" w:type="dxa"/>
            <w:gridSpan w:val="5"/>
            <w:tcBorders>
              <w:tl2br w:val="nil"/>
              <w:tr2bl w:val="nil"/>
            </w:tcBorders>
            <w:tcMar>
              <w:top w:w="0" w:type="dxa"/>
              <w:left w:w="108" w:type="dxa"/>
              <w:bottom w:w="0" w:type="dxa"/>
              <w:right w:w="108" w:type="dxa"/>
            </w:tcMar>
            <w:vAlign w:val="center"/>
          </w:tcPr>
          <w:p w14:paraId="43D48DB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（1）技术来源：针对目前我国南水北调中线工程、东深供水工程等引调水工程中淡水壳菜生物污损问题，依托国家、地方相关课题开展研究试验和验证优化，研发了“高压脉冲电控淡水壳菜幼虫防治技术”。</w:t>
            </w:r>
          </w:p>
          <w:p w14:paraId="41E18C0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特点功能：该技术由高压脉冲装置和电极装置等组成，具有处理时间短、能耗低、温升少，安全环保、不污染水质，穿透性高、杀灭效果良好等特点，可从源头上抑制淡水壳菜大量繁殖，降低输水过程中淡水壳菜大量附着概率，达到防控淡水壳菜扩散和减少污损的目的。</w:t>
            </w:r>
          </w:p>
          <w:p w14:paraId="47DF2B2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（3）参数指标：在高压脉冲电场下，当电场强度2.0~3.0kV/cm、脉宽20~80μs、等效处理时间≥800μs时，淡水壳菜幼虫的灭杀率达到80%以上，可以有效控制淡水壳菜幼虫数量，从而达到控制其异常增殖的目的。</w:t>
            </w:r>
          </w:p>
        </w:tc>
      </w:tr>
      <w:tr w14:paraId="7672A3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16" w:type="dxa"/>
            <w:tcBorders>
              <w:tl2br w:val="nil"/>
              <w:tr2bl w:val="nil"/>
            </w:tcBorders>
            <w:tcMar>
              <w:top w:w="0" w:type="dxa"/>
              <w:left w:w="108" w:type="dxa"/>
              <w:bottom w:w="0" w:type="dxa"/>
              <w:right w:w="108" w:type="dxa"/>
            </w:tcMar>
            <w:vAlign w:val="center"/>
          </w:tcPr>
          <w:p w14:paraId="7C3AE12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7317" w:type="dxa"/>
            <w:gridSpan w:val="5"/>
            <w:tcBorders>
              <w:tl2br w:val="nil"/>
              <w:tr2bl w:val="nil"/>
            </w:tcBorders>
            <w:tcMar>
              <w:top w:w="0" w:type="dxa"/>
              <w:left w:w="108" w:type="dxa"/>
              <w:bottom w:w="0" w:type="dxa"/>
              <w:right w:w="108" w:type="dxa"/>
            </w:tcMar>
            <w:vAlign w:val="center"/>
          </w:tcPr>
          <w:p w14:paraId="4C536C5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赵伟华、贡丹丹、乔强龙、郭伟杰、李鲁丹、刘晗、李航、白芳、杜琦、梁木、李伟、唐见、李晓萌，罗平安</w:t>
            </w:r>
          </w:p>
        </w:tc>
      </w:tr>
      <w:tr w14:paraId="1AA5EA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16" w:type="dxa"/>
            <w:tcBorders>
              <w:tl2br w:val="nil"/>
              <w:tr2bl w:val="nil"/>
            </w:tcBorders>
            <w:tcMar>
              <w:top w:w="0" w:type="dxa"/>
              <w:left w:w="108" w:type="dxa"/>
              <w:bottom w:w="0" w:type="dxa"/>
              <w:right w:w="108" w:type="dxa"/>
            </w:tcMar>
            <w:vAlign w:val="center"/>
          </w:tcPr>
          <w:p w14:paraId="3514214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317" w:type="dxa"/>
            <w:gridSpan w:val="5"/>
            <w:tcBorders>
              <w:tl2br w:val="nil"/>
              <w:tr2bl w:val="nil"/>
            </w:tcBorders>
            <w:tcMar>
              <w:top w:w="0" w:type="dxa"/>
              <w:left w:w="108" w:type="dxa"/>
              <w:bottom w:w="0" w:type="dxa"/>
              <w:right w:w="108" w:type="dxa"/>
            </w:tcMar>
            <w:vAlign w:val="center"/>
          </w:tcPr>
          <w:p w14:paraId="5A29524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该项技术目前已获得3项国家实用新型专利（附件1）：一种利用脉冲放电防淡水壳菜附着原水金属管道的装置（ZL201520806927.</w:t>
            </w:r>
            <w:r>
              <w:rPr>
                <w:rFonts w:hint="eastAsia" w:ascii="宋体" w:hAnsi="宋体" w:eastAsia="宋体" w:cs="Times New Roman"/>
                <w:kern w:val="0"/>
                <w:sz w:val="24"/>
                <w:szCs w:val="24"/>
                <w:lang w:val="en-US" w:eastAsia="zh-CN" w:bidi="ar-SA"/>
              </w:rPr>
              <w:t>4）</w:t>
            </w:r>
            <w:r>
              <w:rPr>
                <w:rFonts w:hint="default" w:ascii="宋体" w:hAnsi="宋体" w:eastAsia="宋体" w:cs="Times New Roman"/>
                <w:kern w:val="0"/>
                <w:sz w:val="24"/>
                <w:szCs w:val="24"/>
                <w:lang w:val="en-US" w:eastAsia="zh-CN" w:bidi="ar-SA"/>
              </w:rPr>
              <w:t>一种利用电流控制钉螺和血吸虫在沟渠扩散的电控螺装置（ZL201520803196.</w:t>
            </w:r>
            <w:r>
              <w:rPr>
                <w:rFonts w:hint="eastAsia" w:ascii="宋体" w:hAnsi="宋体" w:eastAsia="宋体" w:cs="Times New Roman"/>
                <w:kern w:val="0"/>
                <w:sz w:val="24"/>
                <w:szCs w:val="24"/>
                <w:lang w:val="en-US" w:eastAsia="zh-CN" w:bidi="ar-SA"/>
              </w:rPr>
              <w:t>8）</w:t>
            </w:r>
            <w:r>
              <w:rPr>
                <w:rFonts w:hint="default" w:ascii="宋体" w:hAnsi="宋体" w:eastAsia="宋体" w:cs="Times New Roman"/>
                <w:kern w:val="0"/>
                <w:sz w:val="24"/>
                <w:szCs w:val="24"/>
                <w:lang w:val="en-US" w:eastAsia="zh-CN" w:bidi="ar-SA"/>
              </w:rPr>
              <w:t>一种野外便携式淡水壳菜幼虫定量采集装置（ZL202322689167.0）。</w:t>
            </w:r>
          </w:p>
          <w:p w14:paraId="4F5EE89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项技术已完成验收和鉴定，具有高效持久、绿色环保、效果良好等特点。该技术已在南水北调中线干渠郑州段进行了现场应用试验，且效果良好，得到了中国南水北调集团中线有限公司（原南水北调中线工程建设管理局）的充分肯定（附件2）。该技术还得到了云南省滇中引水工程有限公司的立项支持，结合高原引调水工程特点，进一步开展滇中引水工程淡水壳菜附着特性及防控技术研究（附件3）。</w:t>
            </w:r>
          </w:p>
        </w:tc>
      </w:tr>
      <w:tr w14:paraId="553876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16" w:type="dxa"/>
            <w:tcBorders>
              <w:tl2br w:val="nil"/>
              <w:tr2bl w:val="nil"/>
            </w:tcBorders>
            <w:tcMar>
              <w:top w:w="0" w:type="dxa"/>
              <w:left w:w="108" w:type="dxa"/>
              <w:bottom w:w="0" w:type="dxa"/>
              <w:right w:w="108" w:type="dxa"/>
            </w:tcMar>
            <w:vAlign w:val="center"/>
          </w:tcPr>
          <w:p w14:paraId="083CD07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both"/>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317" w:type="dxa"/>
            <w:gridSpan w:val="5"/>
            <w:tcBorders>
              <w:tl2br w:val="nil"/>
              <w:tr2bl w:val="nil"/>
            </w:tcBorders>
            <w:tcMar>
              <w:top w:w="0" w:type="dxa"/>
              <w:left w:w="108" w:type="dxa"/>
              <w:bottom w:w="0" w:type="dxa"/>
              <w:right w:w="108" w:type="dxa"/>
            </w:tcMar>
            <w:vAlign w:val="center"/>
          </w:tcPr>
          <w:p w14:paraId="5F9B223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该技术适用于长距离、跨流域的大型引调水工程，以低流速、有淡水壳菜分布的水体为处理对象。</w:t>
            </w:r>
          </w:p>
        </w:tc>
      </w:tr>
      <w:tr w14:paraId="4C0723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16" w:type="dxa"/>
            <w:tcBorders>
              <w:tl2br w:val="nil"/>
              <w:tr2bl w:val="nil"/>
            </w:tcBorders>
            <w:tcMar>
              <w:top w:w="0" w:type="dxa"/>
              <w:left w:w="108" w:type="dxa"/>
              <w:bottom w:w="0" w:type="dxa"/>
              <w:right w:w="108" w:type="dxa"/>
            </w:tcMar>
            <w:vAlign w:val="center"/>
          </w:tcPr>
          <w:p w14:paraId="3844691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317" w:type="dxa"/>
            <w:gridSpan w:val="5"/>
            <w:tcBorders>
              <w:tl2br w:val="nil"/>
              <w:tr2bl w:val="nil"/>
            </w:tcBorders>
            <w:tcMar>
              <w:top w:w="0" w:type="dxa"/>
              <w:left w:w="108" w:type="dxa"/>
              <w:bottom w:w="0" w:type="dxa"/>
              <w:right w:w="108" w:type="dxa"/>
            </w:tcMar>
            <w:vAlign w:val="center"/>
          </w:tcPr>
          <w:p w14:paraId="0813AE3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该技术分别应用于南水北调中线干渠郑州段、绍兴市某水利工程和云南省滇中引水工程，验证了电控参数的有效性，应用证明材料见附件3。</w:t>
            </w:r>
          </w:p>
          <w:p w14:paraId="77523E3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该技术可对长距离、跨流域调水工程中淡水壳菜幼虫进行有效防治，控制淡水壳菜幼虫繁殖，防止淡水壳菜扩散，并降低</w:t>
            </w:r>
            <w:r>
              <w:rPr>
                <w:rFonts w:hint="eastAsia" w:ascii="宋体" w:hAnsi="宋体" w:eastAsia="宋体" w:cs="Times New Roman"/>
                <w:kern w:val="0"/>
                <w:sz w:val="24"/>
                <w:szCs w:val="24"/>
                <w:lang w:val="en-US" w:eastAsia="zh-CN" w:bidi="ar-SA"/>
              </w:rPr>
              <w:t>成虫</w:t>
            </w:r>
            <w:r>
              <w:rPr>
                <w:rFonts w:hint="default" w:ascii="宋体" w:hAnsi="宋体" w:eastAsia="宋体" w:cs="Times New Roman"/>
                <w:kern w:val="0"/>
                <w:sz w:val="24"/>
                <w:szCs w:val="24"/>
                <w:lang w:val="en-US" w:eastAsia="zh-CN" w:bidi="ar-SA"/>
              </w:rPr>
              <w:t>附着概率，减少渠道生物污损，降低安全隐患，保障输水水质水量安全，促进引调水工程高质量发展。该技术可节约工程建设和运行成本，其运行和维护费用均低于其他类似处理技术。同时，有助于提升我国长距离调水工程中贝类生物污损防治的科技水平，增强核心竞争力，提高公共资源利用效率，促进可持续发展和人才培养，为国家水网的构建提供科技支撑，具有较好的经济及社会效益。</w:t>
            </w:r>
          </w:p>
        </w:tc>
      </w:tr>
    </w:tbl>
    <w:p w14:paraId="208D666D">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3" w:name="_Toc9813"/>
      <w:r>
        <w:rPr>
          <w:rFonts w:hint="default" w:ascii="宋体" w:hAnsi="宋体" w:cs="Times New Roman"/>
          <w:sz w:val="28"/>
          <w:szCs w:val="28"/>
          <w:lang w:val="en-US" w:eastAsia="zh-CN"/>
        </w:rPr>
        <w:t>3.</w:t>
      </w:r>
      <w:r>
        <w:rPr>
          <w:rFonts w:hint="eastAsia" w:ascii="宋体" w:hAnsi="宋体" w:cs="Times New Roman"/>
          <w:sz w:val="28"/>
          <w:szCs w:val="28"/>
          <w:lang w:val="en-US" w:eastAsia="zh-CN"/>
        </w:rPr>
        <w:t>6</w:t>
      </w:r>
      <w:r>
        <w:rPr>
          <w:rFonts w:hint="default" w:ascii="宋体" w:hAnsi="宋体" w:cs="Times New Roman"/>
          <w:sz w:val="28"/>
          <w:szCs w:val="28"/>
          <w:lang w:val="en-US" w:eastAsia="zh-CN"/>
        </w:rPr>
        <w:t xml:space="preserve"> 分散式农村饮用水铁锰去除技术</w:t>
      </w:r>
      <w:bookmarkEnd w:id="23"/>
    </w:p>
    <w:tbl>
      <w:tblPr>
        <w:tblStyle w:val="28"/>
        <w:tblW w:w="93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038"/>
        <w:gridCol w:w="1528"/>
        <w:gridCol w:w="945"/>
        <w:gridCol w:w="1590"/>
        <w:gridCol w:w="1260"/>
        <w:gridCol w:w="1973"/>
      </w:tblGrid>
      <w:tr w14:paraId="7B0A1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38" w:type="dxa"/>
            <w:tcBorders>
              <w:tl2br w:val="nil"/>
              <w:tr2bl w:val="nil"/>
            </w:tcBorders>
            <w:tcMar>
              <w:top w:w="0" w:type="dxa"/>
              <w:left w:w="108" w:type="dxa"/>
              <w:bottom w:w="0" w:type="dxa"/>
              <w:right w:w="108" w:type="dxa"/>
            </w:tcMar>
            <w:vAlign w:val="center"/>
          </w:tcPr>
          <w:p w14:paraId="24A3601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296" w:type="dxa"/>
            <w:gridSpan w:val="5"/>
            <w:tcBorders>
              <w:tl2br w:val="nil"/>
              <w:tr2bl w:val="nil"/>
            </w:tcBorders>
            <w:tcMar>
              <w:top w:w="0" w:type="dxa"/>
              <w:left w:w="108" w:type="dxa"/>
              <w:bottom w:w="0" w:type="dxa"/>
              <w:right w:w="108" w:type="dxa"/>
            </w:tcMar>
            <w:vAlign w:val="center"/>
          </w:tcPr>
          <w:p w14:paraId="4480777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分散式农村饮用水铁锰去除技术</w:t>
            </w:r>
          </w:p>
        </w:tc>
      </w:tr>
      <w:tr w14:paraId="271795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38" w:type="dxa"/>
            <w:tcBorders>
              <w:tl2br w:val="nil"/>
              <w:tr2bl w:val="nil"/>
            </w:tcBorders>
            <w:tcMar>
              <w:top w:w="0" w:type="dxa"/>
              <w:left w:w="108" w:type="dxa"/>
              <w:bottom w:w="0" w:type="dxa"/>
              <w:right w:w="108" w:type="dxa"/>
            </w:tcMar>
            <w:vAlign w:val="center"/>
          </w:tcPr>
          <w:p w14:paraId="5261AB2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296" w:type="dxa"/>
            <w:gridSpan w:val="5"/>
            <w:tcBorders>
              <w:tl2br w:val="nil"/>
              <w:tr2bl w:val="nil"/>
            </w:tcBorders>
            <w:tcMar>
              <w:top w:w="0" w:type="dxa"/>
              <w:left w:w="108" w:type="dxa"/>
              <w:bottom w:w="0" w:type="dxa"/>
              <w:right w:w="108" w:type="dxa"/>
            </w:tcMar>
            <w:vAlign w:val="center"/>
          </w:tcPr>
          <w:p w14:paraId="3970F5D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长江水利委员会长江科学院</w:t>
            </w:r>
          </w:p>
        </w:tc>
      </w:tr>
      <w:tr w14:paraId="6D9F9A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38" w:type="dxa"/>
            <w:tcBorders>
              <w:tl2br w:val="nil"/>
              <w:tr2bl w:val="nil"/>
            </w:tcBorders>
            <w:tcMar>
              <w:top w:w="0" w:type="dxa"/>
              <w:left w:w="108" w:type="dxa"/>
              <w:bottom w:w="0" w:type="dxa"/>
              <w:right w:w="108" w:type="dxa"/>
            </w:tcMar>
            <w:vAlign w:val="center"/>
          </w:tcPr>
          <w:p w14:paraId="12C8EFE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单位地址</w:t>
            </w:r>
          </w:p>
        </w:tc>
        <w:tc>
          <w:tcPr>
            <w:tcW w:w="4063" w:type="dxa"/>
            <w:gridSpan w:val="3"/>
            <w:tcBorders>
              <w:tl2br w:val="nil"/>
              <w:tr2bl w:val="nil"/>
            </w:tcBorders>
            <w:tcMar>
              <w:top w:w="0" w:type="dxa"/>
              <w:left w:w="108" w:type="dxa"/>
              <w:bottom w:w="0" w:type="dxa"/>
              <w:right w:w="108" w:type="dxa"/>
            </w:tcMar>
            <w:vAlign w:val="center"/>
          </w:tcPr>
          <w:p w14:paraId="7E196A7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湖北省武汉市江岸区黄浦大街</w:t>
            </w:r>
            <w:r>
              <w:rPr>
                <w:rFonts w:hint="default" w:ascii="宋体" w:hAnsi="宋体" w:cs="Times New Roman" w:eastAsiaTheme="minorEastAsia"/>
                <w:sz w:val="24"/>
                <w:szCs w:val="24"/>
                <w:lang w:val="en-US" w:eastAsia="zh-CN"/>
              </w:rPr>
              <w:t>23</w:t>
            </w:r>
            <w:r>
              <w:rPr>
                <w:rFonts w:hint="default" w:ascii="宋体" w:hAnsi="宋体" w:cs="Times New Roman" w:eastAsiaTheme="minorEastAsia"/>
                <w:kern w:val="0"/>
                <w:sz w:val="24"/>
                <w:szCs w:val="24"/>
                <w:lang w:val="en-US" w:eastAsia="zh-CN"/>
              </w:rPr>
              <w:t>号</w:t>
            </w:r>
          </w:p>
        </w:tc>
        <w:tc>
          <w:tcPr>
            <w:tcW w:w="1260" w:type="dxa"/>
            <w:tcBorders>
              <w:tl2br w:val="nil"/>
              <w:tr2bl w:val="nil"/>
            </w:tcBorders>
            <w:tcMar>
              <w:top w:w="0" w:type="dxa"/>
              <w:left w:w="108" w:type="dxa"/>
              <w:bottom w:w="0" w:type="dxa"/>
              <w:right w:w="108" w:type="dxa"/>
            </w:tcMar>
            <w:vAlign w:val="center"/>
          </w:tcPr>
          <w:p w14:paraId="35808C0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973" w:type="dxa"/>
            <w:tcBorders>
              <w:tl2br w:val="nil"/>
              <w:tr2bl w:val="nil"/>
            </w:tcBorders>
            <w:tcMar>
              <w:top w:w="0" w:type="dxa"/>
              <w:left w:w="108" w:type="dxa"/>
              <w:bottom w:w="0" w:type="dxa"/>
              <w:right w:w="108" w:type="dxa"/>
            </w:tcMar>
            <w:vAlign w:val="center"/>
          </w:tcPr>
          <w:p w14:paraId="7BA249E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sz w:val="24"/>
                <w:szCs w:val="24"/>
                <w:lang w:val="en-US" w:eastAsia="zh-CN"/>
              </w:rPr>
              <w:t>430010</w:t>
            </w:r>
          </w:p>
        </w:tc>
      </w:tr>
      <w:tr w14:paraId="231EAC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38" w:type="dxa"/>
            <w:tcBorders>
              <w:tl2br w:val="nil"/>
              <w:tr2bl w:val="nil"/>
            </w:tcBorders>
            <w:tcMar>
              <w:top w:w="0" w:type="dxa"/>
              <w:left w:w="108" w:type="dxa"/>
              <w:bottom w:w="0" w:type="dxa"/>
              <w:right w:w="108" w:type="dxa"/>
            </w:tcMar>
            <w:vAlign w:val="center"/>
          </w:tcPr>
          <w:p w14:paraId="1113595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528" w:type="dxa"/>
            <w:tcBorders>
              <w:tl2br w:val="nil"/>
              <w:tr2bl w:val="nil"/>
            </w:tcBorders>
            <w:tcMar>
              <w:top w:w="0" w:type="dxa"/>
              <w:left w:w="108" w:type="dxa"/>
              <w:bottom w:w="0" w:type="dxa"/>
              <w:right w:w="108" w:type="dxa"/>
            </w:tcMar>
            <w:vAlign w:val="center"/>
          </w:tcPr>
          <w:p w14:paraId="73D9403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许全喜</w:t>
            </w:r>
          </w:p>
        </w:tc>
        <w:tc>
          <w:tcPr>
            <w:tcW w:w="945" w:type="dxa"/>
            <w:tcBorders>
              <w:tl2br w:val="nil"/>
              <w:tr2bl w:val="nil"/>
            </w:tcBorders>
            <w:tcMar>
              <w:top w:w="0" w:type="dxa"/>
              <w:left w:w="108" w:type="dxa"/>
              <w:bottom w:w="0" w:type="dxa"/>
              <w:right w:w="108" w:type="dxa"/>
            </w:tcMar>
            <w:vAlign w:val="center"/>
          </w:tcPr>
          <w:p w14:paraId="66FC0A9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590" w:type="dxa"/>
            <w:tcBorders>
              <w:tl2br w:val="nil"/>
              <w:tr2bl w:val="nil"/>
            </w:tcBorders>
            <w:tcMar>
              <w:top w:w="0" w:type="dxa"/>
              <w:left w:w="108" w:type="dxa"/>
              <w:bottom w:w="0" w:type="dxa"/>
              <w:right w:w="108" w:type="dxa"/>
            </w:tcMar>
            <w:vAlign w:val="center"/>
          </w:tcPr>
          <w:p w14:paraId="030A2CC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院长</w:t>
            </w:r>
          </w:p>
        </w:tc>
        <w:tc>
          <w:tcPr>
            <w:tcW w:w="1260" w:type="dxa"/>
            <w:tcBorders>
              <w:tl2br w:val="nil"/>
              <w:tr2bl w:val="nil"/>
            </w:tcBorders>
            <w:tcMar>
              <w:top w:w="0" w:type="dxa"/>
              <w:left w:w="108" w:type="dxa"/>
              <w:bottom w:w="0" w:type="dxa"/>
              <w:right w:w="108" w:type="dxa"/>
            </w:tcMar>
            <w:vAlign w:val="center"/>
          </w:tcPr>
          <w:p w14:paraId="52A0978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1973" w:type="dxa"/>
            <w:tcBorders>
              <w:tl2br w:val="nil"/>
              <w:tr2bl w:val="nil"/>
            </w:tcBorders>
            <w:tcMar>
              <w:top w:w="0" w:type="dxa"/>
              <w:left w:w="108" w:type="dxa"/>
              <w:bottom w:w="0" w:type="dxa"/>
              <w:right w:w="108" w:type="dxa"/>
            </w:tcMar>
            <w:vAlign w:val="center"/>
          </w:tcPr>
          <w:p w14:paraId="5D2C007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sz w:val="24"/>
                <w:szCs w:val="24"/>
              </w:rPr>
              <w:t>027-82923168</w:t>
            </w:r>
          </w:p>
        </w:tc>
      </w:tr>
      <w:tr w14:paraId="75F6A8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37" w:hRule="exact"/>
          <w:jc w:val="center"/>
        </w:trPr>
        <w:tc>
          <w:tcPr>
            <w:tcW w:w="2038" w:type="dxa"/>
            <w:tcBorders>
              <w:tl2br w:val="nil"/>
              <w:tr2bl w:val="nil"/>
            </w:tcBorders>
            <w:tcMar>
              <w:top w:w="0" w:type="dxa"/>
              <w:left w:w="108" w:type="dxa"/>
              <w:bottom w:w="0" w:type="dxa"/>
              <w:right w:w="108" w:type="dxa"/>
            </w:tcMar>
            <w:vAlign w:val="center"/>
          </w:tcPr>
          <w:p w14:paraId="364C630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528" w:type="dxa"/>
            <w:tcBorders>
              <w:tl2br w:val="nil"/>
              <w:tr2bl w:val="nil"/>
            </w:tcBorders>
            <w:tcMar>
              <w:top w:w="0" w:type="dxa"/>
              <w:left w:w="108" w:type="dxa"/>
              <w:bottom w:w="0" w:type="dxa"/>
              <w:right w:w="108" w:type="dxa"/>
            </w:tcMar>
            <w:vAlign w:val="center"/>
          </w:tcPr>
          <w:p w14:paraId="2BDEC42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余婵</w:t>
            </w:r>
          </w:p>
        </w:tc>
        <w:tc>
          <w:tcPr>
            <w:tcW w:w="945" w:type="dxa"/>
            <w:tcBorders>
              <w:tl2br w:val="nil"/>
              <w:tr2bl w:val="nil"/>
            </w:tcBorders>
            <w:tcMar>
              <w:top w:w="0" w:type="dxa"/>
              <w:left w:w="108" w:type="dxa"/>
              <w:bottom w:w="0" w:type="dxa"/>
              <w:right w:w="108" w:type="dxa"/>
            </w:tcMar>
            <w:vAlign w:val="center"/>
          </w:tcPr>
          <w:p w14:paraId="7D91C1A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590" w:type="dxa"/>
            <w:tcBorders>
              <w:tl2br w:val="nil"/>
              <w:tr2bl w:val="nil"/>
            </w:tcBorders>
            <w:tcMar>
              <w:top w:w="0" w:type="dxa"/>
              <w:left w:w="108" w:type="dxa"/>
              <w:bottom w:w="0" w:type="dxa"/>
              <w:right w:w="108" w:type="dxa"/>
            </w:tcMar>
            <w:vAlign w:val="center"/>
          </w:tcPr>
          <w:p w14:paraId="3D84733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sz w:val="24"/>
                <w:szCs w:val="24"/>
              </w:rPr>
              <w:t>027-82923168</w:t>
            </w:r>
          </w:p>
        </w:tc>
        <w:tc>
          <w:tcPr>
            <w:tcW w:w="1260" w:type="dxa"/>
            <w:tcBorders>
              <w:tl2br w:val="nil"/>
              <w:tr2bl w:val="nil"/>
            </w:tcBorders>
            <w:tcMar>
              <w:top w:w="0" w:type="dxa"/>
              <w:left w:w="108" w:type="dxa"/>
              <w:bottom w:w="0" w:type="dxa"/>
              <w:right w:w="108" w:type="dxa"/>
            </w:tcMar>
            <w:vAlign w:val="center"/>
          </w:tcPr>
          <w:p w14:paraId="230D460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973" w:type="dxa"/>
            <w:tcBorders>
              <w:tl2br w:val="nil"/>
              <w:tr2bl w:val="nil"/>
            </w:tcBorders>
            <w:tcMar>
              <w:top w:w="0" w:type="dxa"/>
              <w:left w:w="108" w:type="dxa"/>
              <w:bottom w:w="0" w:type="dxa"/>
              <w:right w:w="108" w:type="dxa"/>
            </w:tcMar>
            <w:vAlign w:val="center"/>
          </w:tcPr>
          <w:p w14:paraId="5530C62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val="en-US" w:eastAsia="zh-CN"/>
              </w:rPr>
            </w:pPr>
            <w:r>
              <w:rPr>
                <w:rFonts w:hint="default" w:ascii="宋体" w:hAnsi="宋体" w:cs="Times New Roman" w:eastAsiaTheme="minorEastAsia"/>
                <w:sz w:val="24"/>
                <w:szCs w:val="24"/>
                <w:lang w:val="en-US" w:eastAsia="zh-CN"/>
              </w:rPr>
              <w:fldChar w:fldCharType="begin"/>
            </w:r>
            <w:r>
              <w:rPr>
                <w:rFonts w:hint="default" w:ascii="宋体" w:hAnsi="宋体" w:cs="Times New Roman" w:eastAsiaTheme="minorEastAsia"/>
                <w:sz w:val="24"/>
                <w:szCs w:val="24"/>
                <w:lang w:val="en-US" w:eastAsia="zh-CN"/>
              </w:rPr>
              <w:instrText xml:space="preserve"> HYPERLINK "mailto:yuchan1202@126.com" </w:instrText>
            </w:r>
            <w:r>
              <w:rPr>
                <w:rFonts w:hint="default" w:ascii="宋体" w:hAnsi="宋体" w:cs="Times New Roman" w:eastAsiaTheme="minorEastAsia"/>
                <w:sz w:val="24"/>
                <w:szCs w:val="24"/>
                <w:lang w:val="en-US" w:eastAsia="zh-CN"/>
              </w:rPr>
              <w:fldChar w:fldCharType="separate"/>
            </w:r>
            <w:r>
              <w:rPr>
                <w:rFonts w:hint="default" w:ascii="宋体" w:hAnsi="宋体" w:cs="Times New Roman" w:eastAsiaTheme="minorEastAsia"/>
                <w:sz w:val="24"/>
                <w:szCs w:val="24"/>
                <w:lang w:val="en-US" w:eastAsia="zh-CN"/>
              </w:rPr>
              <w:t>yuchan1202@126.com</w:t>
            </w:r>
            <w:r>
              <w:rPr>
                <w:rFonts w:hint="default" w:ascii="宋体" w:hAnsi="宋体" w:cs="Times New Roman" w:eastAsiaTheme="minorEastAsia"/>
                <w:sz w:val="24"/>
                <w:szCs w:val="24"/>
                <w:lang w:val="en-US" w:eastAsia="zh-CN"/>
              </w:rPr>
              <w:fldChar w:fldCharType="end"/>
            </w:r>
          </w:p>
        </w:tc>
      </w:tr>
      <w:tr w14:paraId="0BC4BD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038" w:type="dxa"/>
            <w:tcBorders>
              <w:tl2br w:val="nil"/>
              <w:tr2bl w:val="nil"/>
            </w:tcBorders>
            <w:tcMar>
              <w:top w:w="0" w:type="dxa"/>
              <w:left w:w="108" w:type="dxa"/>
              <w:bottom w:w="0" w:type="dxa"/>
              <w:right w:w="108" w:type="dxa"/>
            </w:tcMar>
            <w:vAlign w:val="center"/>
          </w:tcPr>
          <w:p w14:paraId="556852F8">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持有单位简介</w:t>
            </w:r>
          </w:p>
        </w:tc>
        <w:tc>
          <w:tcPr>
            <w:tcW w:w="7296" w:type="dxa"/>
            <w:gridSpan w:val="5"/>
            <w:tcBorders>
              <w:tl2br w:val="nil"/>
              <w:tr2bl w:val="nil"/>
            </w:tcBorders>
            <w:tcMar>
              <w:top w:w="0" w:type="dxa"/>
              <w:left w:w="108" w:type="dxa"/>
              <w:bottom w:w="0" w:type="dxa"/>
              <w:right w:w="108" w:type="dxa"/>
            </w:tcMar>
            <w:vAlign w:val="center"/>
          </w:tcPr>
          <w:p w14:paraId="3672B01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长江科学院是国家社会公益类科研机构，主要为国家水利事业以及长江保护、治理、开发与管理提供科技支撑，同时面向国民经济建设相关行业提供科技服务。70余年来，长江科学院建院开展了大量研究与科技服务工作，并面向国民经济建设相关行业广泛开展涉水科技服务，为长江治理开发与保护以及我国水利事业发展提供了有力的科技支撑，为推动长江生态文明建设、经济社会发展和水利科技进步作出了重大贡献。</w:t>
            </w:r>
          </w:p>
        </w:tc>
      </w:tr>
      <w:tr w14:paraId="31CEB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038" w:type="dxa"/>
            <w:tcBorders>
              <w:tl2br w:val="nil"/>
              <w:tr2bl w:val="nil"/>
            </w:tcBorders>
            <w:tcMar>
              <w:top w:w="0" w:type="dxa"/>
              <w:left w:w="108" w:type="dxa"/>
              <w:bottom w:w="0" w:type="dxa"/>
              <w:right w:w="108" w:type="dxa"/>
            </w:tcMar>
            <w:vAlign w:val="center"/>
          </w:tcPr>
          <w:p w14:paraId="0F3D69D3">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7296" w:type="dxa"/>
            <w:gridSpan w:val="5"/>
            <w:tcBorders>
              <w:tl2br w:val="nil"/>
              <w:tr2bl w:val="nil"/>
            </w:tcBorders>
            <w:tcMar>
              <w:top w:w="0" w:type="dxa"/>
              <w:left w:w="108" w:type="dxa"/>
              <w:bottom w:w="0" w:type="dxa"/>
              <w:right w:w="108" w:type="dxa"/>
            </w:tcMar>
            <w:vAlign w:val="center"/>
          </w:tcPr>
          <w:p w14:paraId="069699C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针对偏远农村地区分散式饮用水源普遍存在铁锰等金属离子及微生物超标的问题，研发了一种适用于分散式农村饮用水高铁锰水净化技术。本技术集合了曝气氧化、锰砂催化、吸附过滤、紫外消毒等过程去除水体中的铁锰以及微生物，可快速彻底地去除分散式农村饮用水中的铁锰等金属离子以及微生物。</w:t>
            </w:r>
          </w:p>
          <w:p w14:paraId="1600B38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基于本技术研发的设备具有结构一体化、使用便捷、维护易行、抗污染性强的特点。设备处理能力为0.5t/h，适用于原水铁去除浓度范围为0.3</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2.0mg/L，锰去除浓度范围为0.1</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1.5mg/L。设备的处理效率为铁锰等金属离子及微生物的去除率&gt;95%，浑浊度＜5NTU，铁锰等金属离子，菌落总数及总大肠菌群出水水质均符合《生活饮用水卫生标准》（GB5749-2022），且填料更换周期约为两年。</w:t>
            </w:r>
          </w:p>
        </w:tc>
      </w:tr>
      <w:tr w14:paraId="2A5E07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038" w:type="dxa"/>
            <w:tcBorders>
              <w:tl2br w:val="nil"/>
              <w:tr2bl w:val="nil"/>
            </w:tcBorders>
            <w:tcMar>
              <w:top w:w="0" w:type="dxa"/>
              <w:left w:w="108" w:type="dxa"/>
              <w:bottom w:w="0" w:type="dxa"/>
              <w:right w:w="108" w:type="dxa"/>
            </w:tcMar>
            <w:vAlign w:val="center"/>
          </w:tcPr>
          <w:p w14:paraId="5786A7C1">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7296" w:type="dxa"/>
            <w:gridSpan w:val="5"/>
            <w:tcBorders>
              <w:tl2br w:val="nil"/>
              <w:tr2bl w:val="nil"/>
            </w:tcBorders>
            <w:tcMar>
              <w:top w:w="0" w:type="dxa"/>
              <w:left w:w="108" w:type="dxa"/>
              <w:bottom w:w="0" w:type="dxa"/>
              <w:right w:w="108" w:type="dxa"/>
            </w:tcMar>
            <w:vAlign w:val="center"/>
          </w:tcPr>
          <w:p w14:paraId="00472BE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Times New Roman" w:hAnsi="Times New Roman" w:eastAsia="宋体" w:cs="Times New Roman"/>
                <w:kern w:val="0"/>
                <w:sz w:val="24"/>
                <w:szCs w:val="24"/>
                <w:lang w:val="en-US" w:eastAsia="zh-CN" w:bidi="ar-SA"/>
              </w:rPr>
              <w:t>赵良元、黄华伟、金海洋、余婵、程靖华、秦赫、吴敏、张为、刘敏、张雨婷、邓闪闪、</w:t>
            </w:r>
            <w:r>
              <w:rPr>
                <w:rFonts w:hint="eastAsia" w:ascii="Times New Roman" w:hAnsi="Times New Roman" w:eastAsia="宋体" w:cs="Times New Roman"/>
                <w:kern w:val="0"/>
                <w:sz w:val="24"/>
                <w:szCs w:val="24"/>
                <w:lang w:val="en-US" w:eastAsia="zh-CN" w:bidi="ar-SA"/>
              </w:rPr>
              <w:t>董传友、</w:t>
            </w:r>
            <w:r>
              <w:rPr>
                <w:rFonts w:hint="default" w:ascii="Times New Roman" w:hAnsi="Times New Roman" w:eastAsia="宋体" w:cs="Times New Roman"/>
                <w:kern w:val="0"/>
                <w:sz w:val="24"/>
                <w:szCs w:val="24"/>
                <w:lang w:val="en-US" w:eastAsia="zh-CN" w:bidi="ar-SA"/>
              </w:rPr>
              <w:t>韩成、陶晶祥、</w:t>
            </w:r>
            <w:r>
              <w:rPr>
                <w:rFonts w:hint="eastAsia" w:ascii="Times New Roman" w:hAnsi="Times New Roman" w:eastAsia="宋体" w:cs="Times New Roman"/>
                <w:kern w:val="0"/>
                <w:sz w:val="24"/>
                <w:szCs w:val="24"/>
                <w:lang w:val="en-US" w:eastAsia="zh-CN" w:bidi="ar-SA"/>
              </w:rPr>
              <w:t>陈启娜</w:t>
            </w:r>
          </w:p>
        </w:tc>
      </w:tr>
      <w:tr w14:paraId="595F66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038" w:type="dxa"/>
            <w:tcBorders>
              <w:tl2br w:val="nil"/>
              <w:tr2bl w:val="nil"/>
            </w:tcBorders>
            <w:tcMar>
              <w:top w:w="0" w:type="dxa"/>
              <w:left w:w="108" w:type="dxa"/>
              <w:bottom w:w="0" w:type="dxa"/>
              <w:right w:w="108" w:type="dxa"/>
            </w:tcMar>
            <w:vAlign w:val="center"/>
          </w:tcPr>
          <w:p w14:paraId="5B9E44D0">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296" w:type="dxa"/>
            <w:gridSpan w:val="5"/>
            <w:tcBorders>
              <w:tl2br w:val="nil"/>
              <w:tr2bl w:val="nil"/>
            </w:tcBorders>
            <w:tcMar>
              <w:top w:w="0" w:type="dxa"/>
              <w:left w:w="108" w:type="dxa"/>
              <w:bottom w:w="0" w:type="dxa"/>
              <w:right w:w="108" w:type="dxa"/>
            </w:tcMar>
            <w:vAlign w:val="center"/>
          </w:tcPr>
          <w:p w14:paraId="5B299FA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鉴定认证：由长江水利委员会水资源节约与保护局组织项目验收。通过验收。</w:t>
            </w:r>
          </w:p>
          <w:p w14:paraId="4038CBC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申报专利一项：实用新型专利《一种农村饮用水水质净化装置》ZL202020525304.0；</w:t>
            </w:r>
          </w:p>
        </w:tc>
      </w:tr>
      <w:tr w14:paraId="3A56E4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038" w:type="dxa"/>
            <w:tcBorders>
              <w:tl2br w:val="nil"/>
              <w:tr2bl w:val="nil"/>
            </w:tcBorders>
            <w:tcMar>
              <w:top w:w="0" w:type="dxa"/>
              <w:left w:w="108" w:type="dxa"/>
              <w:bottom w:w="0" w:type="dxa"/>
              <w:right w:w="108" w:type="dxa"/>
            </w:tcMar>
            <w:vAlign w:val="center"/>
          </w:tcPr>
          <w:p w14:paraId="66808A48">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296" w:type="dxa"/>
            <w:gridSpan w:val="5"/>
            <w:tcBorders>
              <w:tl2br w:val="nil"/>
              <w:tr2bl w:val="nil"/>
            </w:tcBorders>
            <w:tcMar>
              <w:top w:w="0" w:type="dxa"/>
              <w:left w:w="108" w:type="dxa"/>
              <w:bottom w:w="0" w:type="dxa"/>
              <w:right w:w="108" w:type="dxa"/>
            </w:tcMar>
            <w:vAlign w:val="center"/>
          </w:tcPr>
          <w:p w14:paraId="74D11E0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本技术适用于铁锰等金属离子及微生物超标的农村分散式饮用水的水质净化，处理方式为分散式。</w:t>
            </w:r>
          </w:p>
        </w:tc>
      </w:tr>
      <w:tr w14:paraId="2B4584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038" w:type="dxa"/>
            <w:tcBorders>
              <w:tl2br w:val="nil"/>
              <w:tr2bl w:val="nil"/>
            </w:tcBorders>
            <w:tcMar>
              <w:top w:w="0" w:type="dxa"/>
              <w:left w:w="108" w:type="dxa"/>
              <w:bottom w:w="0" w:type="dxa"/>
              <w:right w:w="108" w:type="dxa"/>
            </w:tcMar>
            <w:vAlign w:val="center"/>
          </w:tcPr>
          <w:p w14:paraId="6B0B1B1D">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296" w:type="dxa"/>
            <w:gridSpan w:val="5"/>
            <w:tcBorders>
              <w:tl2br w:val="nil"/>
              <w:tr2bl w:val="nil"/>
            </w:tcBorders>
            <w:tcMar>
              <w:top w:w="0" w:type="dxa"/>
              <w:left w:w="108" w:type="dxa"/>
              <w:bottom w:w="0" w:type="dxa"/>
              <w:right w:w="108" w:type="dxa"/>
            </w:tcMar>
            <w:vAlign w:val="center"/>
          </w:tcPr>
          <w:p w14:paraId="69F87E9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本技术适用于铁锰等金属离子及微生物超标的农村分散式饮用水的水质净化，处理方式为分散式。</w:t>
            </w:r>
          </w:p>
          <w:p w14:paraId="2FB0C24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应用工程：自2020年9月，长科院研发的分散式农村饮用水铁锰去除技术以江西省宁都县东山坝镇石湖村村委会和洛口镇人民政府周边的分散式饮用水水源为对象进行应用示范。</w:t>
            </w:r>
          </w:p>
          <w:p w14:paraId="7A846A3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应用规模：每户村民每天的用水量400L。</w:t>
            </w:r>
          </w:p>
          <w:p w14:paraId="0B388CC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应用效益：经过水质净化装置处理后，在第1、3、5、7和10天采集水样进行检测出水，均未检出铁锰超标。其次，出水水质浊度＜5NTU，菌落总数＜500cfu/mL，总大肠菌群未检出。所有检测指标均符合《生活饮用水卫生标准》（GB5749-2022）的相关规定，获得良好的应用效果。</w:t>
            </w:r>
          </w:p>
        </w:tc>
      </w:tr>
    </w:tbl>
    <w:p w14:paraId="72907D6F">
      <w:pPr>
        <w:pStyle w:val="3"/>
        <w:keepNext/>
        <w:keepLines/>
        <w:pageBreakBefore/>
        <w:widowControl w:val="0"/>
        <w:numPr>
          <w:ilvl w:val="0"/>
          <w:numId w:val="2"/>
        </w:numPr>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cs="Times New Roman"/>
          <w:sz w:val="28"/>
          <w:szCs w:val="28"/>
          <w:lang w:val="en-US" w:eastAsia="zh-CN"/>
        </w:rPr>
      </w:pPr>
      <w:bookmarkStart w:id="24" w:name="_Toc1072"/>
      <w:r>
        <w:rPr>
          <w:rFonts w:hint="default" w:ascii="宋体" w:hAnsi="宋体" w:cs="Times New Roman"/>
          <w:sz w:val="28"/>
          <w:szCs w:val="28"/>
          <w:lang w:val="en-US" w:eastAsia="zh-CN"/>
        </w:rPr>
        <w:t>信息技术应用</w:t>
      </w:r>
      <w:bookmarkEnd w:id="24"/>
    </w:p>
    <w:p w14:paraId="357B76E0">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5" w:name="_Toc8378"/>
      <w:r>
        <w:rPr>
          <w:rFonts w:hint="default" w:ascii="宋体" w:hAnsi="宋体" w:cs="Times New Roman"/>
          <w:sz w:val="28"/>
          <w:szCs w:val="28"/>
          <w:lang w:val="en-US" w:eastAsia="zh-CN"/>
        </w:rPr>
        <w:t>4.</w:t>
      </w:r>
      <w:r>
        <w:rPr>
          <w:rFonts w:hint="eastAsia" w:ascii="宋体" w:hAnsi="宋体" w:cs="Times New Roman"/>
          <w:sz w:val="28"/>
          <w:szCs w:val="28"/>
          <w:lang w:val="en-US" w:eastAsia="zh-CN"/>
        </w:rPr>
        <w:t>1</w:t>
      </w:r>
      <w:r>
        <w:rPr>
          <w:rFonts w:hint="default" w:ascii="宋体" w:hAnsi="宋体" w:cs="Times New Roman"/>
          <w:sz w:val="28"/>
          <w:szCs w:val="28"/>
          <w:lang w:val="en-US" w:eastAsia="zh-CN"/>
        </w:rPr>
        <w:t xml:space="preserve"> 基于图像特征增强压缩算法的北斗三号短报文图像传输系统</w:t>
      </w:r>
      <w:bookmarkEnd w:id="25"/>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078"/>
        <w:gridCol w:w="1424"/>
        <w:gridCol w:w="127"/>
        <w:gridCol w:w="990"/>
        <w:gridCol w:w="1600"/>
        <w:gridCol w:w="1231"/>
        <w:gridCol w:w="1529"/>
      </w:tblGrid>
      <w:tr w14:paraId="78001A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78" w:type="dxa"/>
            <w:tcBorders>
              <w:tl2br w:val="nil"/>
              <w:tr2bl w:val="nil"/>
            </w:tcBorders>
            <w:tcMar>
              <w:top w:w="0" w:type="dxa"/>
              <w:left w:w="108" w:type="dxa"/>
              <w:bottom w:w="0" w:type="dxa"/>
              <w:right w:w="108" w:type="dxa"/>
            </w:tcMar>
            <w:vAlign w:val="center"/>
          </w:tcPr>
          <w:p w14:paraId="64161EA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技术（产品）名称</w:t>
            </w:r>
          </w:p>
        </w:tc>
        <w:tc>
          <w:tcPr>
            <w:tcW w:w="6901" w:type="dxa"/>
            <w:gridSpan w:val="6"/>
            <w:tcBorders>
              <w:tl2br w:val="nil"/>
              <w:tr2bl w:val="nil"/>
            </w:tcBorders>
            <w:tcMar>
              <w:top w:w="0" w:type="dxa"/>
              <w:left w:w="108" w:type="dxa"/>
              <w:bottom w:w="0" w:type="dxa"/>
              <w:right w:w="108" w:type="dxa"/>
            </w:tcMar>
            <w:vAlign w:val="center"/>
          </w:tcPr>
          <w:p w14:paraId="7619A1E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基于图像特征增强压缩算法的北斗三号短报文图像传输系统</w:t>
            </w:r>
          </w:p>
        </w:tc>
      </w:tr>
      <w:tr w14:paraId="41FEE6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78" w:type="dxa"/>
            <w:tcBorders>
              <w:tl2br w:val="nil"/>
              <w:tr2bl w:val="nil"/>
            </w:tcBorders>
            <w:tcMar>
              <w:top w:w="0" w:type="dxa"/>
              <w:left w:w="108" w:type="dxa"/>
              <w:bottom w:w="0" w:type="dxa"/>
              <w:right w:w="108" w:type="dxa"/>
            </w:tcMar>
            <w:vAlign w:val="center"/>
          </w:tcPr>
          <w:p w14:paraId="477F165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持有单位</w:t>
            </w:r>
          </w:p>
        </w:tc>
        <w:tc>
          <w:tcPr>
            <w:tcW w:w="6901" w:type="dxa"/>
            <w:gridSpan w:val="6"/>
            <w:tcBorders>
              <w:tl2br w:val="nil"/>
              <w:tr2bl w:val="nil"/>
            </w:tcBorders>
            <w:tcMar>
              <w:top w:w="0" w:type="dxa"/>
              <w:left w:w="108" w:type="dxa"/>
              <w:bottom w:w="0" w:type="dxa"/>
              <w:right w:w="108" w:type="dxa"/>
            </w:tcMar>
            <w:vAlign w:val="center"/>
          </w:tcPr>
          <w:p w14:paraId="3BD3901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lang w:eastAsia="zh-CN"/>
              </w:rPr>
            </w:pPr>
            <w:r>
              <w:rPr>
                <w:rFonts w:hint="default" w:ascii="宋体" w:hAnsi="宋体" w:cs="Times New Roman" w:eastAsiaTheme="minorEastAsia"/>
                <w:sz w:val="24"/>
                <w:szCs w:val="24"/>
              </w:rPr>
              <w:t>中电科卫星导航运营服务有限公司、云南省水文水资源局</w:t>
            </w:r>
          </w:p>
        </w:tc>
      </w:tr>
      <w:tr w14:paraId="3F82F6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78" w:type="dxa"/>
            <w:tcBorders>
              <w:tl2br w:val="nil"/>
              <w:tr2bl w:val="nil"/>
            </w:tcBorders>
            <w:tcMar>
              <w:top w:w="0" w:type="dxa"/>
              <w:left w:w="108" w:type="dxa"/>
              <w:bottom w:w="0" w:type="dxa"/>
              <w:right w:w="108" w:type="dxa"/>
            </w:tcMar>
            <w:vAlign w:val="center"/>
          </w:tcPr>
          <w:p w14:paraId="374AE5E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1、单位名称</w:t>
            </w:r>
          </w:p>
        </w:tc>
        <w:tc>
          <w:tcPr>
            <w:tcW w:w="6901" w:type="dxa"/>
            <w:gridSpan w:val="6"/>
            <w:tcBorders>
              <w:tl2br w:val="nil"/>
              <w:tr2bl w:val="nil"/>
            </w:tcBorders>
            <w:tcMar>
              <w:top w:w="0" w:type="dxa"/>
              <w:left w:w="108" w:type="dxa"/>
              <w:bottom w:w="0" w:type="dxa"/>
              <w:right w:w="108" w:type="dxa"/>
            </w:tcMar>
            <w:vAlign w:val="center"/>
          </w:tcPr>
          <w:p w14:paraId="42B09C17">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云南省水文水资源局</w:t>
            </w:r>
          </w:p>
        </w:tc>
      </w:tr>
      <w:tr w14:paraId="65344F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78" w:type="dxa"/>
            <w:tcBorders>
              <w:tl2br w:val="nil"/>
              <w:tr2bl w:val="nil"/>
            </w:tcBorders>
            <w:tcMar>
              <w:top w:w="0" w:type="dxa"/>
              <w:left w:w="108" w:type="dxa"/>
              <w:bottom w:w="0" w:type="dxa"/>
              <w:right w:w="108" w:type="dxa"/>
            </w:tcMar>
            <w:vAlign w:val="center"/>
          </w:tcPr>
          <w:p w14:paraId="2E3A59D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单位地址</w:t>
            </w:r>
          </w:p>
        </w:tc>
        <w:tc>
          <w:tcPr>
            <w:tcW w:w="4141" w:type="dxa"/>
            <w:gridSpan w:val="4"/>
            <w:tcBorders>
              <w:tl2br w:val="nil"/>
              <w:tr2bl w:val="nil"/>
            </w:tcBorders>
            <w:tcMar>
              <w:top w:w="0" w:type="dxa"/>
              <w:left w:w="108" w:type="dxa"/>
              <w:bottom w:w="0" w:type="dxa"/>
              <w:right w:w="108" w:type="dxa"/>
            </w:tcMar>
            <w:vAlign w:val="center"/>
          </w:tcPr>
          <w:p w14:paraId="1CA6AE3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云南省昆明五华区科医路196号</w:t>
            </w:r>
          </w:p>
        </w:tc>
        <w:tc>
          <w:tcPr>
            <w:tcW w:w="1231" w:type="dxa"/>
            <w:tcBorders>
              <w:tl2br w:val="nil"/>
              <w:tr2bl w:val="nil"/>
            </w:tcBorders>
            <w:tcMar>
              <w:top w:w="0" w:type="dxa"/>
              <w:left w:w="108" w:type="dxa"/>
              <w:bottom w:w="0" w:type="dxa"/>
              <w:right w:w="108" w:type="dxa"/>
            </w:tcMar>
            <w:vAlign w:val="center"/>
          </w:tcPr>
          <w:p w14:paraId="11224C8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邮政编码</w:t>
            </w:r>
          </w:p>
        </w:tc>
        <w:tc>
          <w:tcPr>
            <w:tcW w:w="1529" w:type="dxa"/>
            <w:tcBorders>
              <w:tl2br w:val="nil"/>
              <w:tr2bl w:val="nil"/>
            </w:tcBorders>
            <w:tcMar>
              <w:top w:w="0" w:type="dxa"/>
              <w:left w:w="108" w:type="dxa"/>
              <w:bottom w:w="0" w:type="dxa"/>
              <w:right w:w="108" w:type="dxa"/>
            </w:tcMar>
            <w:vAlign w:val="center"/>
          </w:tcPr>
          <w:p w14:paraId="272FD5A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650106</w:t>
            </w:r>
          </w:p>
        </w:tc>
      </w:tr>
      <w:tr w14:paraId="71DABB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87" w:hRule="exact"/>
          <w:jc w:val="center"/>
        </w:trPr>
        <w:tc>
          <w:tcPr>
            <w:tcW w:w="2078" w:type="dxa"/>
            <w:tcBorders>
              <w:tl2br w:val="nil"/>
              <w:tr2bl w:val="nil"/>
            </w:tcBorders>
            <w:tcMar>
              <w:top w:w="0" w:type="dxa"/>
              <w:left w:w="108" w:type="dxa"/>
              <w:bottom w:w="0" w:type="dxa"/>
              <w:right w:w="108" w:type="dxa"/>
            </w:tcMar>
            <w:vAlign w:val="center"/>
          </w:tcPr>
          <w:p w14:paraId="29958D8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法人代表</w:t>
            </w:r>
          </w:p>
        </w:tc>
        <w:tc>
          <w:tcPr>
            <w:tcW w:w="1551" w:type="dxa"/>
            <w:gridSpan w:val="2"/>
            <w:tcBorders>
              <w:tl2br w:val="nil"/>
              <w:tr2bl w:val="nil"/>
            </w:tcBorders>
            <w:tcMar>
              <w:top w:w="0" w:type="dxa"/>
              <w:left w:w="108" w:type="dxa"/>
              <w:bottom w:w="0" w:type="dxa"/>
              <w:right w:w="108" w:type="dxa"/>
            </w:tcMar>
            <w:vAlign w:val="center"/>
          </w:tcPr>
          <w:p w14:paraId="7AF4CCD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李伯根</w:t>
            </w:r>
          </w:p>
        </w:tc>
        <w:tc>
          <w:tcPr>
            <w:tcW w:w="990" w:type="dxa"/>
            <w:tcBorders>
              <w:tl2br w:val="nil"/>
              <w:tr2bl w:val="nil"/>
            </w:tcBorders>
            <w:tcMar>
              <w:top w:w="0" w:type="dxa"/>
              <w:left w:w="108" w:type="dxa"/>
              <w:bottom w:w="0" w:type="dxa"/>
              <w:right w:w="108" w:type="dxa"/>
            </w:tcMar>
            <w:vAlign w:val="center"/>
          </w:tcPr>
          <w:p w14:paraId="1F3B14F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职务</w:t>
            </w:r>
          </w:p>
        </w:tc>
        <w:tc>
          <w:tcPr>
            <w:tcW w:w="1600" w:type="dxa"/>
            <w:tcBorders>
              <w:tl2br w:val="nil"/>
              <w:tr2bl w:val="nil"/>
            </w:tcBorders>
            <w:tcMar>
              <w:top w:w="0" w:type="dxa"/>
              <w:left w:w="108" w:type="dxa"/>
              <w:bottom w:w="0" w:type="dxa"/>
              <w:right w:w="108" w:type="dxa"/>
            </w:tcMar>
            <w:vAlign w:val="center"/>
          </w:tcPr>
          <w:p w14:paraId="11EEB757">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局长</w:t>
            </w:r>
          </w:p>
        </w:tc>
        <w:tc>
          <w:tcPr>
            <w:tcW w:w="1231" w:type="dxa"/>
            <w:tcBorders>
              <w:tl2br w:val="nil"/>
              <w:tr2bl w:val="nil"/>
            </w:tcBorders>
            <w:tcMar>
              <w:top w:w="0" w:type="dxa"/>
              <w:left w:w="108" w:type="dxa"/>
              <w:bottom w:w="0" w:type="dxa"/>
              <w:right w:w="108" w:type="dxa"/>
            </w:tcMar>
            <w:vAlign w:val="center"/>
          </w:tcPr>
          <w:p w14:paraId="02857D0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电话</w:t>
            </w:r>
          </w:p>
        </w:tc>
        <w:tc>
          <w:tcPr>
            <w:tcW w:w="1529" w:type="dxa"/>
            <w:tcBorders>
              <w:tl2br w:val="nil"/>
              <w:tr2bl w:val="nil"/>
            </w:tcBorders>
            <w:tcMar>
              <w:top w:w="0" w:type="dxa"/>
              <w:left w:w="108" w:type="dxa"/>
              <w:bottom w:w="0" w:type="dxa"/>
              <w:right w:w="108" w:type="dxa"/>
            </w:tcMar>
            <w:vAlign w:val="center"/>
          </w:tcPr>
          <w:p w14:paraId="627E19C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0871-68317881</w:t>
            </w:r>
          </w:p>
        </w:tc>
      </w:tr>
      <w:tr w14:paraId="4F1DFA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82" w:hRule="exact"/>
          <w:jc w:val="center"/>
        </w:trPr>
        <w:tc>
          <w:tcPr>
            <w:tcW w:w="2078" w:type="dxa"/>
            <w:tcBorders>
              <w:tl2br w:val="nil"/>
              <w:tr2bl w:val="nil"/>
            </w:tcBorders>
            <w:tcMar>
              <w:top w:w="0" w:type="dxa"/>
              <w:left w:w="108" w:type="dxa"/>
              <w:bottom w:w="0" w:type="dxa"/>
              <w:right w:w="108" w:type="dxa"/>
            </w:tcMar>
            <w:vAlign w:val="center"/>
          </w:tcPr>
          <w:p w14:paraId="11C7BF49">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联系人</w:t>
            </w:r>
          </w:p>
        </w:tc>
        <w:tc>
          <w:tcPr>
            <w:tcW w:w="1551" w:type="dxa"/>
            <w:gridSpan w:val="2"/>
            <w:tcBorders>
              <w:tl2br w:val="nil"/>
              <w:tr2bl w:val="nil"/>
            </w:tcBorders>
            <w:tcMar>
              <w:top w:w="0" w:type="dxa"/>
              <w:left w:w="108" w:type="dxa"/>
              <w:bottom w:w="0" w:type="dxa"/>
              <w:right w:w="108" w:type="dxa"/>
            </w:tcMar>
            <w:vAlign w:val="center"/>
          </w:tcPr>
          <w:p w14:paraId="5BA0A23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蔡文静</w:t>
            </w:r>
          </w:p>
        </w:tc>
        <w:tc>
          <w:tcPr>
            <w:tcW w:w="990" w:type="dxa"/>
            <w:tcBorders>
              <w:tl2br w:val="nil"/>
              <w:tr2bl w:val="nil"/>
            </w:tcBorders>
            <w:tcMar>
              <w:top w:w="0" w:type="dxa"/>
              <w:left w:w="108" w:type="dxa"/>
              <w:bottom w:w="0" w:type="dxa"/>
              <w:right w:w="108" w:type="dxa"/>
            </w:tcMar>
            <w:vAlign w:val="center"/>
          </w:tcPr>
          <w:p w14:paraId="1795CD82">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电话</w:t>
            </w:r>
          </w:p>
        </w:tc>
        <w:tc>
          <w:tcPr>
            <w:tcW w:w="1600" w:type="dxa"/>
            <w:tcBorders>
              <w:tl2br w:val="nil"/>
              <w:tr2bl w:val="nil"/>
            </w:tcBorders>
            <w:shd w:val="clear" w:color="auto" w:fill="auto"/>
            <w:tcMar>
              <w:top w:w="0" w:type="dxa"/>
              <w:left w:w="108" w:type="dxa"/>
              <w:bottom w:w="0" w:type="dxa"/>
              <w:right w:w="108" w:type="dxa"/>
            </w:tcMar>
            <w:vAlign w:val="center"/>
          </w:tcPr>
          <w:p w14:paraId="3954C1CC">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2"/>
                <w:sz w:val="24"/>
                <w:szCs w:val="24"/>
                <w:lang w:val="en-US" w:eastAsia="zh-CN" w:bidi="ar-SA"/>
              </w:rPr>
            </w:pPr>
            <w:r>
              <w:rPr>
                <w:rFonts w:hint="default" w:ascii="宋体" w:hAnsi="宋体" w:cs="Times New Roman" w:eastAsiaTheme="minorEastAsia"/>
                <w:sz w:val="24"/>
                <w:szCs w:val="24"/>
              </w:rPr>
              <w:t>0871-68317881</w:t>
            </w:r>
          </w:p>
        </w:tc>
        <w:tc>
          <w:tcPr>
            <w:tcW w:w="1231" w:type="dxa"/>
            <w:tcBorders>
              <w:tl2br w:val="nil"/>
              <w:tr2bl w:val="nil"/>
            </w:tcBorders>
            <w:tcMar>
              <w:top w:w="0" w:type="dxa"/>
              <w:left w:w="108" w:type="dxa"/>
              <w:bottom w:w="0" w:type="dxa"/>
              <w:right w:w="108" w:type="dxa"/>
            </w:tcMar>
            <w:vAlign w:val="center"/>
          </w:tcPr>
          <w:p w14:paraId="44B2FC0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E-mail</w:t>
            </w:r>
          </w:p>
        </w:tc>
        <w:tc>
          <w:tcPr>
            <w:tcW w:w="1529" w:type="dxa"/>
            <w:tcBorders>
              <w:tl2br w:val="nil"/>
              <w:tr2bl w:val="nil"/>
            </w:tcBorders>
            <w:tcMar>
              <w:top w:w="0" w:type="dxa"/>
              <w:left w:w="108" w:type="dxa"/>
              <w:bottom w:w="0" w:type="dxa"/>
              <w:right w:w="108" w:type="dxa"/>
            </w:tcMar>
            <w:vAlign w:val="center"/>
          </w:tcPr>
          <w:p w14:paraId="69CBCBB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342029700@qq.com</w:t>
            </w:r>
          </w:p>
        </w:tc>
      </w:tr>
      <w:tr w14:paraId="7BFED0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78" w:type="dxa"/>
            <w:tcBorders>
              <w:tl2br w:val="nil"/>
              <w:tr2bl w:val="nil"/>
            </w:tcBorders>
            <w:tcMar>
              <w:top w:w="0" w:type="dxa"/>
              <w:left w:w="108" w:type="dxa"/>
              <w:bottom w:w="0" w:type="dxa"/>
              <w:right w:w="108" w:type="dxa"/>
            </w:tcMar>
            <w:vAlign w:val="center"/>
          </w:tcPr>
          <w:p w14:paraId="76D65A2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2、单位名称</w:t>
            </w:r>
          </w:p>
        </w:tc>
        <w:tc>
          <w:tcPr>
            <w:tcW w:w="6901" w:type="dxa"/>
            <w:gridSpan w:val="6"/>
            <w:tcBorders>
              <w:tl2br w:val="nil"/>
              <w:tr2bl w:val="nil"/>
            </w:tcBorders>
            <w:tcMar>
              <w:top w:w="0" w:type="dxa"/>
              <w:left w:w="108" w:type="dxa"/>
              <w:bottom w:w="0" w:type="dxa"/>
              <w:right w:w="108" w:type="dxa"/>
            </w:tcMar>
            <w:vAlign w:val="center"/>
          </w:tcPr>
          <w:p w14:paraId="0004C68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中电科卫星导航运营服务有限公司</w:t>
            </w:r>
          </w:p>
        </w:tc>
      </w:tr>
      <w:tr w14:paraId="101A0E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57" w:hRule="exact"/>
          <w:jc w:val="center"/>
        </w:trPr>
        <w:tc>
          <w:tcPr>
            <w:tcW w:w="2078" w:type="dxa"/>
            <w:tcBorders>
              <w:tl2br w:val="nil"/>
              <w:tr2bl w:val="nil"/>
            </w:tcBorders>
            <w:tcMar>
              <w:top w:w="0" w:type="dxa"/>
              <w:left w:w="108" w:type="dxa"/>
              <w:bottom w:w="0" w:type="dxa"/>
              <w:right w:w="108" w:type="dxa"/>
            </w:tcMar>
            <w:vAlign w:val="center"/>
          </w:tcPr>
          <w:p w14:paraId="2208FDE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单位地址</w:t>
            </w:r>
          </w:p>
        </w:tc>
        <w:tc>
          <w:tcPr>
            <w:tcW w:w="4141" w:type="dxa"/>
            <w:gridSpan w:val="4"/>
            <w:tcBorders>
              <w:tl2br w:val="nil"/>
              <w:tr2bl w:val="nil"/>
            </w:tcBorders>
            <w:tcMar>
              <w:top w:w="0" w:type="dxa"/>
              <w:left w:w="108" w:type="dxa"/>
              <w:bottom w:w="0" w:type="dxa"/>
              <w:right w:w="108" w:type="dxa"/>
            </w:tcMar>
            <w:vAlign w:val="center"/>
          </w:tcPr>
          <w:p w14:paraId="7221E97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河北省石家庄市鹿泉区昌盛大街21号D1楼4层</w:t>
            </w:r>
          </w:p>
        </w:tc>
        <w:tc>
          <w:tcPr>
            <w:tcW w:w="1231" w:type="dxa"/>
            <w:tcBorders>
              <w:tl2br w:val="nil"/>
              <w:tr2bl w:val="nil"/>
            </w:tcBorders>
            <w:tcMar>
              <w:top w:w="0" w:type="dxa"/>
              <w:left w:w="108" w:type="dxa"/>
              <w:bottom w:w="0" w:type="dxa"/>
              <w:right w:w="108" w:type="dxa"/>
            </w:tcMar>
            <w:vAlign w:val="center"/>
          </w:tcPr>
          <w:p w14:paraId="455D9468">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邮政编码</w:t>
            </w:r>
          </w:p>
        </w:tc>
        <w:tc>
          <w:tcPr>
            <w:tcW w:w="1529" w:type="dxa"/>
            <w:tcBorders>
              <w:tl2br w:val="nil"/>
              <w:tr2bl w:val="nil"/>
            </w:tcBorders>
            <w:tcMar>
              <w:top w:w="0" w:type="dxa"/>
              <w:left w:w="108" w:type="dxa"/>
              <w:bottom w:w="0" w:type="dxa"/>
              <w:right w:w="108" w:type="dxa"/>
            </w:tcMar>
            <w:vAlign w:val="center"/>
          </w:tcPr>
          <w:p w14:paraId="5C6F11C5">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050200</w:t>
            </w:r>
          </w:p>
        </w:tc>
      </w:tr>
      <w:tr w14:paraId="183388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37" w:hRule="exact"/>
          <w:jc w:val="center"/>
        </w:trPr>
        <w:tc>
          <w:tcPr>
            <w:tcW w:w="2078" w:type="dxa"/>
            <w:tcBorders>
              <w:tl2br w:val="nil"/>
              <w:tr2bl w:val="nil"/>
            </w:tcBorders>
            <w:tcMar>
              <w:top w:w="0" w:type="dxa"/>
              <w:left w:w="108" w:type="dxa"/>
              <w:bottom w:w="0" w:type="dxa"/>
              <w:right w:w="108" w:type="dxa"/>
            </w:tcMar>
            <w:vAlign w:val="center"/>
          </w:tcPr>
          <w:p w14:paraId="27C68044">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法人代表</w:t>
            </w:r>
          </w:p>
        </w:tc>
        <w:tc>
          <w:tcPr>
            <w:tcW w:w="1424" w:type="dxa"/>
            <w:tcBorders>
              <w:tl2br w:val="nil"/>
              <w:tr2bl w:val="nil"/>
            </w:tcBorders>
            <w:tcMar>
              <w:top w:w="0" w:type="dxa"/>
              <w:left w:w="108" w:type="dxa"/>
              <w:bottom w:w="0" w:type="dxa"/>
              <w:right w:w="108" w:type="dxa"/>
            </w:tcMar>
            <w:vAlign w:val="center"/>
          </w:tcPr>
          <w:p w14:paraId="6AFE5EA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王振岭</w:t>
            </w:r>
          </w:p>
        </w:tc>
        <w:tc>
          <w:tcPr>
            <w:tcW w:w="1117" w:type="dxa"/>
            <w:gridSpan w:val="2"/>
            <w:tcBorders>
              <w:tl2br w:val="nil"/>
              <w:tr2bl w:val="nil"/>
            </w:tcBorders>
            <w:tcMar>
              <w:top w:w="0" w:type="dxa"/>
              <w:left w:w="108" w:type="dxa"/>
              <w:bottom w:w="0" w:type="dxa"/>
              <w:right w:w="108" w:type="dxa"/>
            </w:tcMar>
            <w:vAlign w:val="center"/>
          </w:tcPr>
          <w:p w14:paraId="13DFC24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职务</w:t>
            </w:r>
          </w:p>
        </w:tc>
        <w:tc>
          <w:tcPr>
            <w:tcW w:w="1600" w:type="dxa"/>
            <w:tcBorders>
              <w:tl2br w:val="nil"/>
              <w:tr2bl w:val="nil"/>
            </w:tcBorders>
            <w:tcMar>
              <w:top w:w="0" w:type="dxa"/>
              <w:left w:w="108" w:type="dxa"/>
              <w:bottom w:w="0" w:type="dxa"/>
              <w:right w:w="108" w:type="dxa"/>
            </w:tcMar>
            <w:vAlign w:val="center"/>
          </w:tcPr>
          <w:p w14:paraId="2B2F7FF3">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董事长</w:t>
            </w:r>
          </w:p>
        </w:tc>
        <w:tc>
          <w:tcPr>
            <w:tcW w:w="1231" w:type="dxa"/>
            <w:tcBorders>
              <w:tl2br w:val="nil"/>
              <w:tr2bl w:val="nil"/>
            </w:tcBorders>
            <w:tcMar>
              <w:top w:w="0" w:type="dxa"/>
              <w:left w:w="108" w:type="dxa"/>
              <w:bottom w:w="0" w:type="dxa"/>
              <w:right w:w="108" w:type="dxa"/>
            </w:tcMar>
            <w:vAlign w:val="center"/>
          </w:tcPr>
          <w:p w14:paraId="4EF11EB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电话</w:t>
            </w:r>
          </w:p>
        </w:tc>
        <w:tc>
          <w:tcPr>
            <w:tcW w:w="1529" w:type="dxa"/>
            <w:tcBorders>
              <w:tl2br w:val="nil"/>
              <w:tr2bl w:val="nil"/>
            </w:tcBorders>
            <w:tcMar>
              <w:top w:w="0" w:type="dxa"/>
              <w:left w:w="108" w:type="dxa"/>
              <w:bottom w:w="0" w:type="dxa"/>
              <w:right w:w="108" w:type="dxa"/>
            </w:tcMar>
            <w:vAlign w:val="center"/>
          </w:tcPr>
          <w:p w14:paraId="146446E6">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0311-82177823</w:t>
            </w:r>
          </w:p>
        </w:tc>
      </w:tr>
      <w:tr w14:paraId="5118E6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87" w:hRule="exact"/>
          <w:jc w:val="center"/>
        </w:trPr>
        <w:tc>
          <w:tcPr>
            <w:tcW w:w="2078" w:type="dxa"/>
            <w:tcBorders>
              <w:tl2br w:val="nil"/>
              <w:tr2bl w:val="nil"/>
            </w:tcBorders>
            <w:tcMar>
              <w:top w:w="0" w:type="dxa"/>
              <w:left w:w="108" w:type="dxa"/>
              <w:bottom w:w="0" w:type="dxa"/>
              <w:right w:w="108" w:type="dxa"/>
            </w:tcMar>
            <w:vAlign w:val="center"/>
          </w:tcPr>
          <w:p w14:paraId="70F0084B">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联系人</w:t>
            </w:r>
          </w:p>
        </w:tc>
        <w:tc>
          <w:tcPr>
            <w:tcW w:w="1424" w:type="dxa"/>
            <w:tcBorders>
              <w:tl2br w:val="nil"/>
              <w:tr2bl w:val="nil"/>
            </w:tcBorders>
            <w:tcMar>
              <w:top w:w="0" w:type="dxa"/>
              <w:left w:w="108" w:type="dxa"/>
              <w:bottom w:w="0" w:type="dxa"/>
              <w:right w:w="108" w:type="dxa"/>
            </w:tcMar>
            <w:vAlign w:val="center"/>
          </w:tcPr>
          <w:p w14:paraId="00B598AE">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谷龙</w:t>
            </w:r>
          </w:p>
        </w:tc>
        <w:tc>
          <w:tcPr>
            <w:tcW w:w="1117" w:type="dxa"/>
            <w:gridSpan w:val="2"/>
            <w:tcBorders>
              <w:tl2br w:val="nil"/>
              <w:tr2bl w:val="nil"/>
            </w:tcBorders>
            <w:tcMar>
              <w:top w:w="0" w:type="dxa"/>
              <w:left w:w="108" w:type="dxa"/>
              <w:bottom w:w="0" w:type="dxa"/>
              <w:right w:w="108" w:type="dxa"/>
            </w:tcMar>
            <w:vAlign w:val="center"/>
          </w:tcPr>
          <w:p w14:paraId="120478C0">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电话</w:t>
            </w:r>
          </w:p>
        </w:tc>
        <w:tc>
          <w:tcPr>
            <w:tcW w:w="1600" w:type="dxa"/>
            <w:tcBorders>
              <w:tl2br w:val="nil"/>
              <w:tr2bl w:val="nil"/>
            </w:tcBorders>
            <w:shd w:val="clear" w:color="auto" w:fill="auto"/>
            <w:tcMar>
              <w:top w:w="0" w:type="dxa"/>
              <w:left w:w="108" w:type="dxa"/>
              <w:bottom w:w="0" w:type="dxa"/>
              <w:right w:w="108" w:type="dxa"/>
            </w:tcMar>
            <w:vAlign w:val="center"/>
          </w:tcPr>
          <w:p w14:paraId="366BB72F">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2"/>
                <w:sz w:val="24"/>
                <w:szCs w:val="24"/>
                <w:lang w:val="en-US" w:eastAsia="zh-CN" w:bidi="ar-SA"/>
              </w:rPr>
            </w:pPr>
            <w:r>
              <w:rPr>
                <w:rFonts w:hint="default" w:ascii="宋体" w:hAnsi="宋体" w:cs="Times New Roman" w:eastAsiaTheme="minorEastAsia"/>
                <w:sz w:val="24"/>
                <w:szCs w:val="24"/>
              </w:rPr>
              <w:t>0311-82177823</w:t>
            </w:r>
          </w:p>
        </w:tc>
        <w:tc>
          <w:tcPr>
            <w:tcW w:w="1231" w:type="dxa"/>
            <w:tcBorders>
              <w:tl2br w:val="nil"/>
              <w:tr2bl w:val="nil"/>
            </w:tcBorders>
            <w:tcMar>
              <w:top w:w="0" w:type="dxa"/>
              <w:left w:w="108" w:type="dxa"/>
              <w:bottom w:w="0" w:type="dxa"/>
              <w:right w:w="108" w:type="dxa"/>
            </w:tcMar>
            <w:vAlign w:val="center"/>
          </w:tcPr>
          <w:p w14:paraId="7FAF4AE1">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E-mail</w:t>
            </w:r>
          </w:p>
        </w:tc>
        <w:tc>
          <w:tcPr>
            <w:tcW w:w="1529" w:type="dxa"/>
            <w:tcBorders>
              <w:tl2br w:val="nil"/>
              <w:tr2bl w:val="nil"/>
            </w:tcBorders>
            <w:tcMar>
              <w:top w:w="0" w:type="dxa"/>
              <w:left w:w="108" w:type="dxa"/>
              <w:bottom w:w="0" w:type="dxa"/>
              <w:right w:w="108" w:type="dxa"/>
            </w:tcMar>
            <w:vAlign w:val="center"/>
          </w:tcPr>
          <w:p w14:paraId="034DD11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dkdhgl@163.com</w:t>
            </w:r>
          </w:p>
        </w:tc>
      </w:tr>
      <w:tr w14:paraId="1B240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078" w:type="dxa"/>
            <w:tcBorders>
              <w:tl2br w:val="nil"/>
              <w:tr2bl w:val="nil"/>
            </w:tcBorders>
            <w:tcMar>
              <w:top w:w="0" w:type="dxa"/>
              <w:left w:w="108" w:type="dxa"/>
              <w:bottom w:w="0" w:type="dxa"/>
              <w:right w:w="108" w:type="dxa"/>
            </w:tcMar>
            <w:vAlign w:val="center"/>
          </w:tcPr>
          <w:p w14:paraId="7C2099B4">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持有单位简介</w:t>
            </w:r>
          </w:p>
        </w:tc>
        <w:tc>
          <w:tcPr>
            <w:tcW w:w="6901" w:type="dxa"/>
            <w:gridSpan w:val="6"/>
            <w:tcBorders>
              <w:tl2br w:val="nil"/>
              <w:tr2bl w:val="nil"/>
            </w:tcBorders>
            <w:tcMar>
              <w:top w:w="0" w:type="dxa"/>
              <w:left w:w="108" w:type="dxa"/>
              <w:bottom w:w="0" w:type="dxa"/>
              <w:right w:w="108" w:type="dxa"/>
            </w:tcMar>
            <w:vAlign w:val="center"/>
          </w:tcPr>
          <w:p w14:paraId="25001A9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云南省水文水资源局成立于1941年7月18日，为云南省水利厅直属全额拨款事业单位，拥有数千套用于水文水资源监测、分析计算和实验研究的专业设备，积累了丰富的长系列水文水资源数据。主要负责云南省域范围的六大流域和九大高原湖泊水系的水文水资源监测、评价等。</w:t>
            </w:r>
          </w:p>
          <w:p w14:paraId="406E075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中电科卫星导航运营服务有限公司是一家集北斗卫星导航科研、生产、系统集成、运营服务于一体的企业，在智慧水利、农业、安全保密等多个领域开展规模化应用和运营服务。</w:t>
            </w:r>
          </w:p>
        </w:tc>
      </w:tr>
      <w:tr w14:paraId="289B78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078" w:type="dxa"/>
            <w:tcBorders>
              <w:tl2br w:val="nil"/>
              <w:tr2bl w:val="nil"/>
            </w:tcBorders>
            <w:tcMar>
              <w:top w:w="0" w:type="dxa"/>
              <w:left w:w="108" w:type="dxa"/>
              <w:bottom w:w="0" w:type="dxa"/>
              <w:right w:w="108" w:type="dxa"/>
            </w:tcMar>
            <w:vAlign w:val="center"/>
          </w:tcPr>
          <w:p w14:paraId="64011ECE">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技术（产品）简介</w:t>
            </w:r>
          </w:p>
        </w:tc>
        <w:tc>
          <w:tcPr>
            <w:tcW w:w="6901" w:type="dxa"/>
            <w:gridSpan w:val="6"/>
            <w:tcBorders>
              <w:tl2br w:val="nil"/>
              <w:tr2bl w:val="nil"/>
            </w:tcBorders>
            <w:tcMar>
              <w:top w:w="0" w:type="dxa"/>
              <w:left w:w="108" w:type="dxa"/>
              <w:bottom w:w="0" w:type="dxa"/>
              <w:right w:w="108" w:type="dxa"/>
            </w:tcMar>
            <w:vAlign w:val="center"/>
          </w:tcPr>
          <w:p w14:paraId="2656E8E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（1）技术来源</w:t>
            </w:r>
          </w:p>
          <w:p w14:paraId="69AFC3C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系统由摄像头、北斗图传终端、北斗数传终端和监控平台组成，通过摄像头采集水文图像，北斗图传终端将水文图像通过北斗短报文发送到后方监控平台。</w:t>
            </w:r>
          </w:p>
          <w:p w14:paraId="070B98F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（2）技术特点</w:t>
            </w:r>
          </w:p>
          <w:p w14:paraId="586757E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①基于特征增强处理原理进行现场采集水文图像高比例压缩。</w:t>
            </w:r>
          </w:p>
          <w:p w14:paraId="7AAA1F6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②采用可靠的北斗短报文与4G融合通信数据传输方式；</w:t>
            </w:r>
          </w:p>
          <w:p w14:paraId="27E5D18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（3）功能</w:t>
            </w:r>
          </w:p>
          <w:p w14:paraId="1768790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①提供现场水文图像数据接入、处理、存储和分发功能；</w:t>
            </w:r>
          </w:p>
          <w:p w14:paraId="38BEC10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②设备管理功能；</w:t>
            </w:r>
          </w:p>
          <w:p w14:paraId="4477FB2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③提供开放平台服务功能。</w:t>
            </w:r>
          </w:p>
          <w:p w14:paraId="590ED60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（4）指标：</w:t>
            </w:r>
          </w:p>
          <w:p w14:paraId="1C2A77F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1）系统性能</w:t>
            </w:r>
          </w:p>
          <w:p w14:paraId="08305730">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①系统可靠性</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≥99.99%;</w:t>
            </w:r>
          </w:p>
          <w:p w14:paraId="27ED01F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②北斗三号短报文通信成功率≥95%；</w:t>
            </w:r>
          </w:p>
          <w:p w14:paraId="11100D0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③支持不少于20000个北斗图传终端接入；</w:t>
            </w:r>
          </w:p>
          <w:p w14:paraId="5150499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④：报文解析速度优于3秒。</w:t>
            </w:r>
          </w:p>
          <w:p w14:paraId="398FB31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2）终端性能：</w:t>
            </w:r>
          </w:p>
          <w:p w14:paraId="4080B8C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①通信成功率≥95%；</w:t>
            </w:r>
          </w:p>
          <w:p w14:paraId="10A2F8F1">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②支持短报文双向传输功能；</w:t>
            </w:r>
          </w:p>
          <w:p w14:paraId="195F591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③支持对图片数据进行压缩处理。</w:t>
            </w:r>
          </w:p>
        </w:tc>
      </w:tr>
      <w:tr w14:paraId="46F03D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078" w:type="dxa"/>
            <w:tcBorders>
              <w:tl2br w:val="nil"/>
              <w:tr2bl w:val="nil"/>
            </w:tcBorders>
            <w:tcMar>
              <w:top w:w="0" w:type="dxa"/>
              <w:left w:w="108" w:type="dxa"/>
              <w:bottom w:w="0" w:type="dxa"/>
              <w:right w:w="108" w:type="dxa"/>
            </w:tcMar>
            <w:vAlign w:val="center"/>
          </w:tcPr>
          <w:p w14:paraId="1C90CDB2">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主要完成人</w:t>
            </w:r>
          </w:p>
        </w:tc>
        <w:tc>
          <w:tcPr>
            <w:tcW w:w="6901" w:type="dxa"/>
            <w:gridSpan w:val="6"/>
            <w:tcBorders>
              <w:tl2br w:val="nil"/>
              <w:tr2bl w:val="nil"/>
            </w:tcBorders>
            <w:tcMar>
              <w:top w:w="0" w:type="dxa"/>
              <w:left w:w="108" w:type="dxa"/>
              <w:bottom w:w="0" w:type="dxa"/>
              <w:right w:w="108" w:type="dxa"/>
            </w:tcMar>
            <w:vAlign w:val="center"/>
          </w:tcPr>
          <w:p w14:paraId="6B60211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严波、蔡文静、孙立明、赵鹏飞、徐学飞、刘永兴、姚光强、叶睿、张威、李建明、谷龙、朱恩荣、王超</w:t>
            </w:r>
          </w:p>
        </w:tc>
      </w:tr>
      <w:tr w14:paraId="2A0BE5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078" w:type="dxa"/>
            <w:tcBorders>
              <w:tl2br w:val="nil"/>
              <w:tr2bl w:val="nil"/>
            </w:tcBorders>
            <w:tcMar>
              <w:top w:w="0" w:type="dxa"/>
              <w:left w:w="108" w:type="dxa"/>
              <w:bottom w:w="0" w:type="dxa"/>
              <w:right w:w="108" w:type="dxa"/>
            </w:tcMar>
            <w:vAlign w:val="center"/>
          </w:tcPr>
          <w:p w14:paraId="7764BDBD">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鉴定认证、专利与获奖情况等</w:t>
            </w:r>
          </w:p>
        </w:tc>
        <w:tc>
          <w:tcPr>
            <w:tcW w:w="6901" w:type="dxa"/>
            <w:gridSpan w:val="6"/>
            <w:tcBorders>
              <w:tl2br w:val="nil"/>
              <w:tr2bl w:val="nil"/>
            </w:tcBorders>
            <w:tcMar>
              <w:top w:w="0" w:type="dxa"/>
              <w:left w:w="108" w:type="dxa"/>
              <w:bottom w:w="0" w:type="dxa"/>
              <w:right w:w="108" w:type="dxa"/>
            </w:tcMar>
            <w:vAlign w:val="center"/>
          </w:tcPr>
          <w:p w14:paraId="5FEE442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1</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专利</w:t>
            </w:r>
          </w:p>
          <w:p w14:paraId="7D1A723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1）一种自适应北斗短报文转接装置</w:t>
            </w:r>
          </w:p>
          <w:p w14:paraId="0CB04F5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（2）软著</w:t>
            </w:r>
          </w:p>
          <w:p w14:paraId="05C273C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1）基于北斗三号的图像采集与传输系统嵌入式软件</w:t>
            </w:r>
          </w:p>
          <w:p w14:paraId="0076D11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2）北斗水利终端入网检测系统软件</w:t>
            </w:r>
          </w:p>
          <w:p w14:paraId="75F1445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（3）行业标准</w:t>
            </w:r>
            <w:bookmarkStart w:id="26" w:name="_Ref144122012"/>
            <w:r>
              <w:rPr>
                <w:rFonts w:hint="default" w:ascii="宋体" w:hAnsi="宋体" w:eastAsia="宋体" w:cs="Times New Roman"/>
                <w:kern w:val="0"/>
                <w:sz w:val="24"/>
                <w:szCs w:val="24"/>
                <w:lang w:val="en-US" w:eastAsia="zh-CN" w:bidi="ar-SA"/>
              </w:rPr>
              <w:t>：水利北斗短报文通信规约行业标准</w:t>
            </w:r>
            <w:bookmarkEnd w:id="26"/>
          </w:p>
        </w:tc>
      </w:tr>
      <w:tr w14:paraId="35641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078" w:type="dxa"/>
            <w:tcBorders>
              <w:tl2br w:val="nil"/>
              <w:tr2bl w:val="nil"/>
            </w:tcBorders>
            <w:tcMar>
              <w:top w:w="0" w:type="dxa"/>
              <w:left w:w="108" w:type="dxa"/>
              <w:bottom w:w="0" w:type="dxa"/>
              <w:right w:w="108" w:type="dxa"/>
            </w:tcMar>
            <w:vAlign w:val="center"/>
          </w:tcPr>
          <w:p w14:paraId="1133B60B">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适用范围</w:t>
            </w:r>
          </w:p>
        </w:tc>
        <w:tc>
          <w:tcPr>
            <w:tcW w:w="6901" w:type="dxa"/>
            <w:gridSpan w:val="6"/>
            <w:tcBorders>
              <w:tl2br w:val="nil"/>
              <w:tr2bl w:val="nil"/>
            </w:tcBorders>
            <w:tcMar>
              <w:top w:w="0" w:type="dxa"/>
              <w:left w:w="108" w:type="dxa"/>
              <w:bottom w:w="0" w:type="dxa"/>
              <w:right w:w="108" w:type="dxa"/>
            </w:tcMar>
            <w:vAlign w:val="center"/>
          </w:tcPr>
          <w:p w14:paraId="7FF93D0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本系统面向水利工程、水文水资源等领域，用于河道、大坝、闸口、水利仪器的现场情况图片采集传输。基于图像特征增强压缩算法的北斗三号短报文图像传输系统能够实现定时抓拍现场图片，通过北斗三号短报文将水文图片信息回传至平台，管理人员可以登录平台远程查看现场状态，并根据情况调度工作人员前往现场进行排查和解决，从而提高管理工作效率，降低人力投入，可广泛应用于水利智能感知体系的建设。</w:t>
            </w:r>
          </w:p>
        </w:tc>
      </w:tr>
      <w:tr w14:paraId="290C19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078" w:type="dxa"/>
            <w:tcBorders>
              <w:tl2br w:val="nil"/>
              <w:tr2bl w:val="nil"/>
            </w:tcBorders>
            <w:tcMar>
              <w:top w:w="0" w:type="dxa"/>
              <w:left w:w="108" w:type="dxa"/>
              <w:bottom w:w="0" w:type="dxa"/>
              <w:right w:w="108" w:type="dxa"/>
            </w:tcMar>
            <w:vAlign w:val="center"/>
          </w:tcPr>
          <w:p w14:paraId="37B89FF6">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eastAsiaTheme="minorEastAsia"/>
                <w:sz w:val="24"/>
                <w:szCs w:val="24"/>
              </w:rPr>
            </w:pPr>
            <w:r>
              <w:rPr>
                <w:rFonts w:hint="default" w:ascii="宋体" w:hAnsi="宋体" w:cs="Times New Roman" w:eastAsiaTheme="minorEastAsia"/>
                <w:sz w:val="24"/>
                <w:szCs w:val="24"/>
              </w:rPr>
              <w:t>应用工程及效益</w:t>
            </w:r>
          </w:p>
        </w:tc>
        <w:tc>
          <w:tcPr>
            <w:tcW w:w="6901" w:type="dxa"/>
            <w:gridSpan w:val="6"/>
            <w:tcBorders>
              <w:tl2br w:val="nil"/>
              <w:tr2bl w:val="nil"/>
            </w:tcBorders>
            <w:tcMar>
              <w:top w:w="0" w:type="dxa"/>
              <w:left w:w="108" w:type="dxa"/>
              <w:bottom w:w="0" w:type="dxa"/>
              <w:right w:w="108" w:type="dxa"/>
            </w:tcMar>
            <w:vAlign w:val="center"/>
          </w:tcPr>
          <w:p w14:paraId="6E5A6DFA">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（1）应用工程</w:t>
            </w:r>
          </w:p>
          <w:p w14:paraId="20659BD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图像特征增强压缩算法的北斗三号短报文图像传输系统”已开发、测试完成并投入使用，系统目前已成功应用于云南省水文水资源局楚雄分局帽台山高山雨量站建设项目。北斗三号图像传输系统自2023年2月正式运行以来数据采集传输完整率达95%，系统运行稳定可靠，管理人员可以登录平台远程查看现场状态，及时定位隐患，并根据情况调度工作人员前往现场进行排查和解决，</w:t>
            </w:r>
            <w:r>
              <w:rPr>
                <w:rFonts w:hint="eastAsia" w:ascii="宋体" w:hAnsi="宋体" w:eastAsia="宋体" w:cs="Times New Roman"/>
                <w:kern w:val="0"/>
                <w:sz w:val="24"/>
                <w:szCs w:val="24"/>
                <w:lang w:val="en-US" w:eastAsia="zh-CN" w:bidi="ar-SA"/>
              </w:rPr>
              <w:t>极大地提高</w:t>
            </w:r>
            <w:r>
              <w:rPr>
                <w:rFonts w:hint="default" w:ascii="宋体" w:hAnsi="宋体" w:eastAsia="宋体" w:cs="Times New Roman"/>
                <w:kern w:val="0"/>
                <w:sz w:val="24"/>
                <w:szCs w:val="24"/>
                <w:lang w:val="en-US" w:eastAsia="zh-CN" w:bidi="ar-SA"/>
              </w:rPr>
              <w:t>了工作效率，降低了人力投入，为当地水文水位、水利工程安全运行管理提供了便利，获得了客户一致好评。目前，产品正继续向全国其他省份水文水资源项目中推广应用，并将逐步推广到其他水利领域。</w:t>
            </w:r>
          </w:p>
          <w:p w14:paraId="25EA9DC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（2）效益</w:t>
            </w:r>
          </w:p>
          <w:p w14:paraId="255B282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图像特征增强压缩算法的北斗三号短报文图像传输系统，可提供水文图片采集、图片压缩、分包以及北斗三号短报文传输、图像组包、平台展示功能，单价合计20000元/套，单套系统运行费用1000元/年。基于图像特征增强压缩算法的北斗三号短报文图像传输系统具备无公网覆盖区域数据实时采集的优势，图像清晰、数据真实，有利于及时发现现场情况及安全隐患，设备单价低且后期的维护成本小，具有很大的投资效益。</w:t>
            </w:r>
          </w:p>
        </w:tc>
      </w:tr>
    </w:tbl>
    <w:p w14:paraId="64C7A364">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lang w:eastAsia="zh-CN"/>
        </w:rPr>
      </w:pPr>
    </w:p>
    <w:p w14:paraId="4FCE3656">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lang w:eastAsia="zh-CN"/>
        </w:rPr>
      </w:pPr>
    </w:p>
    <w:p w14:paraId="203C962E">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7" w:name="_Toc956"/>
      <w:r>
        <w:rPr>
          <w:rFonts w:hint="default" w:ascii="宋体" w:hAnsi="宋体" w:cs="Times New Roman"/>
          <w:sz w:val="28"/>
          <w:szCs w:val="28"/>
          <w:lang w:val="en-US" w:eastAsia="zh-CN"/>
        </w:rPr>
        <w:t>4.</w:t>
      </w:r>
      <w:r>
        <w:rPr>
          <w:rFonts w:hint="eastAsia" w:ascii="宋体" w:hAnsi="宋体" w:cs="Times New Roman"/>
          <w:sz w:val="28"/>
          <w:szCs w:val="28"/>
          <w:lang w:val="en-US" w:eastAsia="zh-CN"/>
        </w:rPr>
        <w:t>2</w:t>
      </w:r>
      <w:r>
        <w:rPr>
          <w:rFonts w:hint="default" w:ascii="宋体" w:hAnsi="宋体" w:cs="Times New Roman"/>
          <w:sz w:val="28"/>
          <w:szCs w:val="28"/>
          <w:lang w:val="en-US" w:eastAsia="zh-CN"/>
        </w:rPr>
        <w:t xml:space="preserve"> 基于北斗4G融合网关的分布式LoRa智能组网技术</w:t>
      </w:r>
      <w:bookmarkEnd w:id="27"/>
    </w:p>
    <w:tbl>
      <w:tblPr>
        <w:tblStyle w:val="28"/>
        <w:tblW w:w="92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049"/>
        <w:gridCol w:w="1425"/>
        <w:gridCol w:w="900"/>
        <w:gridCol w:w="1575"/>
        <w:gridCol w:w="1375"/>
        <w:gridCol w:w="1975"/>
      </w:tblGrid>
      <w:tr w14:paraId="43A4A6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49" w:type="dxa"/>
            <w:tcBorders>
              <w:tl2br w:val="nil"/>
              <w:tr2bl w:val="nil"/>
            </w:tcBorders>
            <w:tcMar>
              <w:top w:w="0" w:type="dxa"/>
              <w:left w:w="108" w:type="dxa"/>
              <w:bottom w:w="0" w:type="dxa"/>
              <w:right w:w="108" w:type="dxa"/>
            </w:tcMar>
            <w:vAlign w:val="center"/>
          </w:tcPr>
          <w:p w14:paraId="390BFEE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技术（产品）名称</w:t>
            </w:r>
          </w:p>
        </w:tc>
        <w:tc>
          <w:tcPr>
            <w:tcW w:w="7250" w:type="dxa"/>
            <w:gridSpan w:val="5"/>
            <w:tcBorders>
              <w:tl2br w:val="nil"/>
              <w:tr2bl w:val="nil"/>
            </w:tcBorders>
            <w:tcMar>
              <w:top w:w="0" w:type="dxa"/>
              <w:left w:w="108" w:type="dxa"/>
              <w:bottom w:w="0" w:type="dxa"/>
              <w:right w:w="108" w:type="dxa"/>
            </w:tcMar>
            <w:vAlign w:val="center"/>
          </w:tcPr>
          <w:p w14:paraId="4B5BA62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基于北斗4G融合网关的分布式LoRa智能组网技术</w:t>
            </w:r>
          </w:p>
        </w:tc>
      </w:tr>
      <w:tr w14:paraId="162D3F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49" w:type="dxa"/>
            <w:tcBorders>
              <w:tl2br w:val="nil"/>
              <w:tr2bl w:val="nil"/>
            </w:tcBorders>
            <w:tcMar>
              <w:top w:w="0" w:type="dxa"/>
              <w:left w:w="108" w:type="dxa"/>
              <w:bottom w:w="0" w:type="dxa"/>
              <w:right w:w="108" w:type="dxa"/>
            </w:tcMar>
            <w:vAlign w:val="center"/>
          </w:tcPr>
          <w:p w14:paraId="043864C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w:t>
            </w:r>
          </w:p>
        </w:tc>
        <w:tc>
          <w:tcPr>
            <w:tcW w:w="7250" w:type="dxa"/>
            <w:gridSpan w:val="5"/>
            <w:tcBorders>
              <w:tl2br w:val="nil"/>
              <w:tr2bl w:val="nil"/>
            </w:tcBorders>
            <w:tcMar>
              <w:top w:w="0" w:type="dxa"/>
              <w:left w:w="108" w:type="dxa"/>
              <w:bottom w:w="0" w:type="dxa"/>
              <w:right w:w="108" w:type="dxa"/>
            </w:tcMar>
            <w:vAlign w:val="center"/>
          </w:tcPr>
          <w:p w14:paraId="2D8348C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厦门四信物联网科技有限公司</w:t>
            </w:r>
          </w:p>
        </w:tc>
      </w:tr>
      <w:tr w14:paraId="7846CE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62" w:hRule="exact"/>
          <w:jc w:val="center"/>
        </w:trPr>
        <w:tc>
          <w:tcPr>
            <w:tcW w:w="2049" w:type="dxa"/>
            <w:tcBorders>
              <w:tl2br w:val="nil"/>
              <w:tr2bl w:val="nil"/>
            </w:tcBorders>
            <w:tcMar>
              <w:top w:w="0" w:type="dxa"/>
              <w:left w:w="108" w:type="dxa"/>
              <w:bottom w:w="0" w:type="dxa"/>
              <w:right w:w="108" w:type="dxa"/>
            </w:tcMar>
            <w:vAlign w:val="center"/>
          </w:tcPr>
          <w:p w14:paraId="39E4530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单位地址</w:t>
            </w:r>
          </w:p>
        </w:tc>
        <w:tc>
          <w:tcPr>
            <w:tcW w:w="3900" w:type="dxa"/>
            <w:gridSpan w:val="3"/>
            <w:tcBorders>
              <w:tl2br w:val="nil"/>
              <w:tr2bl w:val="nil"/>
            </w:tcBorders>
            <w:tcMar>
              <w:top w:w="0" w:type="dxa"/>
              <w:left w:w="108" w:type="dxa"/>
              <w:bottom w:w="0" w:type="dxa"/>
              <w:right w:w="108" w:type="dxa"/>
            </w:tcMar>
            <w:vAlign w:val="center"/>
          </w:tcPr>
          <w:p w14:paraId="75E0AB6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厦门市软件园三期诚毅北大街57号501单元</w:t>
            </w:r>
          </w:p>
        </w:tc>
        <w:tc>
          <w:tcPr>
            <w:tcW w:w="1375" w:type="dxa"/>
            <w:tcBorders>
              <w:tl2br w:val="nil"/>
              <w:tr2bl w:val="nil"/>
            </w:tcBorders>
            <w:tcMar>
              <w:top w:w="0" w:type="dxa"/>
              <w:left w:w="108" w:type="dxa"/>
              <w:bottom w:w="0" w:type="dxa"/>
              <w:right w:w="108" w:type="dxa"/>
            </w:tcMar>
            <w:vAlign w:val="center"/>
          </w:tcPr>
          <w:p w14:paraId="5E26B04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邮政编码</w:t>
            </w:r>
          </w:p>
        </w:tc>
        <w:tc>
          <w:tcPr>
            <w:tcW w:w="1975" w:type="dxa"/>
            <w:tcBorders>
              <w:tl2br w:val="nil"/>
              <w:tr2bl w:val="nil"/>
            </w:tcBorders>
            <w:tcMar>
              <w:top w:w="0" w:type="dxa"/>
              <w:left w:w="108" w:type="dxa"/>
              <w:bottom w:w="0" w:type="dxa"/>
              <w:right w:w="108" w:type="dxa"/>
            </w:tcMar>
            <w:vAlign w:val="center"/>
          </w:tcPr>
          <w:p w14:paraId="637E7B8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361024</w:t>
            </w:r>
          </w:p>
        </w:tc>
      </w:tr>
      <w:tr w14:paraId="5D500A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049" w:type="dxa"/>
            <w:tcBorders>
              <w:tl2br w:val="nil"/>
              <w:tr2bl w:val="nil"/>
            </w:tcBorders>
            <w:tcMar>
              <w:top w:w="0" w:type="dxa"/>
              <w:left w:w="108" w:type="dxa"/>
              <w:bottom w:w="0" w:type="dxa"/>
              <w:right w:w="108" w:type="dxa"/>
            </w:tcMar>
            <w:vAlign w:val="center"/>
          </w:tcPr>
          <w:p w14:paraId="1FC06F1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法人代表</w:t>
            </w:r>
          </w:p>
        </w:tc>
        <w:tc>
          <w:tcPr>
            <w:tcW w:w="1425" w:type="dxa"/>
            <w:tcBorders>
              <w:tl2br w:val="nil"/>
              <w:tr2bl w:val="nil"/>
            </w:tcBorders>
            <w:tcMar>
              <w:top w:w="0" w:type="dxa"/>
              <w:left w:w="108" w:type="dxa"/>
              <w:bottom w:w="0" w:type="dxa"/>
              <w:right w:w="108" w:type="dxa"/>
            </w:tcMar>
            <w:vAlign w:val="center"/>
          </w:tcPr>
          <w:p w14:paraId="63201D8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喻珊珊</w:t>
            </w:r>
          </w:p>
        </w:tc>
        <w:tc>
          <w:tcPr>
            <w:tcW w:w="900" w:type="dxa"/>
            <w:tcBorders>
              <w:tl2br w:val="nil"/>
              <w:tr2bl w:val="nil"/>
            </w:tcBorders>
            <w:tcMar>
              <w:top w:w="0" w:type="dxa"/>
              <w:left w:w="108" w:type="dxa"/>
              <w:bottom w:w="0" w:type="dxa"/>
              <w:right w:w="108" w:type="dxa"/>
            </w:tcMar>
            <w:vAlign w:val="center"/>
          </w:tcPr>
          <w:p w14:paraId="6701A87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职务</w:t>
            </w:r>
          </w:p>
        </w:tc>
        <w:tc>
          <w:tcPr>
            <w:tcW w:w="1575" w:type="dxa"/>
            <w:tcBorders>
              <w:tl2br w:val="nil"/>
              <w:tr2bl w:val="nil"/>
            </w:tcBorders>
            <w:tcMar>
              <w:top w:w="0" w:type="dxa"/>
              <w:left w:w="108" w:type="dxa"/>
              <w:bottom w:w="0" w:type="dxa"/>
              <w:right w:w="108" w:type="dxa"/>
            </w:tcMar>
            <w:vAlign w:val="center"/>
          </w:tcPr>
          <w:p w14:paraId="4E08F40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总经理</w:t>
            </w:r>
          </w:p>
        </w:tc>
        <w:tc>
          <w:tcPr>
            <w:tcW w:w="1375" w:type="dxa"/>
            <w:tcBorders>
              <w:tl2br w:val="nil"/>
              <w:tr2bl w:val="nil"/>
            </w:tcBorders>
            <w:tcMar>
              <w:top w:w="0" w:type="dxa"/>
              <w:left w:w="108" w:type="dxa"/>
              <w:bottom w:w="0" w:type="dxa"/>
              <w:right w:w="108" w:type="dxa"/>
            </w:tcMar>
            <w:vAlign w:val="center"/>
          </w:tcPr>
          <w:p w14:paraId="2D81F1E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1975" w:type="dxa"/>
            <w:tcBorders>
              <w:tl2br w:val="nil"/>
              <w:tr2bl w:val="nil"/>
            </w:tcBorders>
            <w:tcMar>
              <w:top w:w="0" w:type="dxa"/>
              <w:left w:w="108" w:type="dxa"/>
              <w:bottom w:w="0" w:type="dxa"/>
              <w:right w:w="108" w:type="dxa"/>
            </w:tcMar>
            <w:vAlign w:val="center"/>
          </w:tcPr>
          <w:p w14:paraId="76F52EA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(0592)6280861</w:t>
            </w:r>
          </w:p>
        </w:tc>
      </w:tr>
      <w:tr w14:paraId="664AE1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87" w:hRule="exact"/>
          <w:jc w:val="center"/>
        </w:trPr>
        <w:tc>
          <w:tcPr>
            <w:tcW w:w="2049" w:type="dxa"/>
            <w:tcBorders>
              <w:tl2br w:val="nil"/>
              <w:tr2bl w:val="nil"/>
            </w:tcBorders>
            <w:tcMar>
              <w:top w:w="0" w:type="dxa"/>
              <w:left w:w="108" w:type="dxa"/>
              <w:bottom w:w="0" w:type="dxa"/>
              <w:right w:w="108" w:type="dxa"/>
            </w:tcMar>
            <w:vAlign w:val="center"/>
          </w:tcPr>
          <w:p w14:paraId="6054DBC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联系人</w:t>
            </w:r>
          </w:p>
        </w:tc>
        <w:tc>
          <w:tcPr>
            <w:tcW w:w="1425" w:type="dxa"/>
            <w:tcBorders>
              <w:tl2br w:val="nil"/>
              <w:tr2bl w:val="nil"/>
            </w:tcBorders>
            <w:tcMar>
              <w:top w:w="0" w:type="dxa"/>
              <w:left w:w="108" w:type="dxa"/>
              <w:bottom w:w="0" w:type="dxa"/>
              <w:right w:w="108" w:type="dxa"/>
            </w:tcMar>
            <w:vAlign w:val="center"/>
          </w:tcPr>
          <w:p w14:paraId="0A8E44F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吴金妹</w:t>
            </w:r>
          </w:p>
        </w:tc>
        <w:tc>
          <w:tcPr>
            <w:tcW w:w="900" w:type="dxa"/>
            <w:tcBorders>
              <w:tl2br w:val="nil"/>
              <w:tr2bl w:val="nil"/>
            </w:tcBorders>
            <w:tcMar>
              <w:top w:w="0" w:type="dxa"/>
              <w:left w:w="108" w:type="dxa"/>
              <w:bottom w:w="0" w:type="dxa"/>
              <w:right w:w="108" w:type="dxa"/>
            </w:tcMar>
            <w:vAlign w:val="center"/>
          </w:tcPr>
          <w:p w14:paraId="3991C23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电话</w:t>
            </w:r>
          </w:p>
        </w:tc>
        <w:tc>
          <w:tcPr>
            <w:tcW w:w="1575" w:type="dxa"/>
            <w:tcBorders>
              <w:tl2br w:val="nil"/>
              <w:tr2bl w:val="nil"/>
            </w:tcBorders>
            <w:tcMar>
              <w:top w:w="0" w:type="dxa"/>
              <w:left w:w="108" w:type="dxa"/>
              <w:bottom w:w="0" w:type="dxa"/>
              <w:right w:w="108" w:type="dxa"/>
            </w:tcMar>
            <w:vAlign w:val="center"/>
          </w:tcPr>
          <w:p w14:paraId="390E67F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(0592)6280861</w:t>
            </w:r>
          </w:p>
        </w:tc>
        <w:tc>
          <w:tcPr>
            <w:tcW w:w="1375" w:type="dxa"/>
            <w:tcBorders>
              <w:tl2br w:val="nil"/>
              <w:tr2bl w:val="nil"/>
            </w:tcBorders>
            <w:tcMar>
              <w:top w:w="0" w:type="dxa"/>
              <w:left w:w="108" w:type="dxa"/>
              <w:bottom w:w="0" w:type="dxa"/>
              <w:right w:w="108" w:type="dxa"/>
            </w:tcMar>
            <w:vAlign w:val="center"/>
          </w:tcPr>
          <w:p w14:paraId="71AD1D5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E-mail</w:t>
            </w:r>
          </w:p>
        </w:tc>
        <w:tc>
          <w:tcPr>
            <w:tcW w:w="1975" w:type="dxa"/>
            <w:tcBorders>
              <w:tl2br w:val="nil"/>
              <w:tr2bl w:val="nil"/>
            </w:tcBorders>
            <w:tcMar>
              <w:top w:w="0" w:type="dxa"/>
              <w:left w:w="108" w:type="dxa"/>
              <w:bottom w:w="0" w:type="dxa"/>
              <w:right w:w="108" w:type="dxa"/>
            </w:tcMar>
            <w:vAlign w:val="center"/>
          </w:tcPr>
          <w:p w14:paraId="7A9EA98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sz w:val="24"/>
                <w:szCs w:val="24"/>
              </w:rPr>
              <w:t>wujinmei@four-faith.com</w:t>
            </w:r>
          </w:p>
        </w:tc>
      </w:tr>
      <w:tr w14:paraId="283271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3655" w:hRule="atLeast"/>
          <w:jc w:val="center"/>
        </w:trPr>
        <w:tc>
          <w:tcPr>
            <w:tcW w:w="2049" w:type="dxa"/>
            <w:tcBorders>
              <w:tl2br w:val="nil"/>
              <w:tr2bl w:val="nil"/>
            </w:tcBorders>
            <w:tcMar>
              <w:top w:w="0" w:type="dxa"/>
              <w:left w:w="108" w:type="dxa"/>
              <w:bottom w:w="0" w:type="dxa"/>
              <w:right w:w="108" w:type="dxa"/>
            </w:tcMar>
            <w:vAlign w:val="center"/>
          </w:tcPr>
          <w:p w14:paraId="17EC7979">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持有单位简介</w:t>
            </w:r>
          </w:p>
        </w:tc>
        <w:tc>
          <w:tcPr>
            <w:tcW w:w="7250" w:type="dxa"/>
            <w:gridSpan w:val="5"/>
            <w:tcBorders>
              <w:tl2br w:val="nil"/>
              <w:tr2bl w:val="nil"/>
            </w:tcBorders>
            <w:tcMar>
              <w:top w:w="0" w:type="dxa"/>
              <w:left w:w="108" w:type="dxa"/>
              <w:bottom w:w="0" w:type="dxa"/>
              <w:right w:w="108" w:type="dxa"/>
            </w:tcMar>
            <w:vAlign w:val="center"/>
          </w:tcPr>
          <w:p w14:paraId="42CAD24B">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公司成立于2016年，专注于灌区、水利、水务、地灾等物联网信息垂直行业信息化应用产品的研发、生产与服务。公司以创新为动力，研发人员占比约50%，研发费用占比19%；已拥有33件授权专利56件授权软著。已通过CMMI3、ISO9001、ISO14001、ISO45001、ITSS及知识产权管理体系等认证，是国家级高新技术企业、福建省数字经济创新企业（瞪羚企业）、厦门市“专精特新”企业、厦门“火炬瞪羚企业”；全国智慧水利企业信用评价AA级，节水与水处理企业信用评价A级。</w:t>
            </w:r>
          </w:p>
        </w:tc>
      </w:tr>
      <w:tr w14:paraId="193D04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525" w:hRule="atLeast"/>
          <w:jc w:val="center"/>
        </w:trPr>
        <w:tc>
          <w:tcPr>
            <w:tcW w:w="2049" w:type="dxa"/>
            <w:tcBorders>
              <w:tl2br w:val="nil"/>
              <w:tr2bl w:val="nil"/>
            </w:tcBorders>
            <w:tcMar>
              <w:top w:w="0" w:type="dxa"/>
              <w:left w:w="108" w:type="dxa"/>
              <w:bottom w:w="0" w:type="dxa"/>
              <w:right w:w="108" w:type="dxa"/>
            </w:tcMar>
            <w:vAlign w:val="center"/>
          </w:tcPr>
          <w:p w14:paraId="0B112D3E">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技术（产品）简介</w:t>
            </w:r>
          </w:p>
        </w:tc>
        <w:tc>
          <w:tcPr>
            <w:tcW w:w="7250" w:type="dxa"/>
            <w:gridSpan w:val="5"/>
            <w:tcBorders>
              <w:tl2br w:val="nil"/>
              <w:tr2bl w:val="nil"/>
            </w:tcBorders>
            <w:tcMar>
              <w:top w:w="0" w:type="dxa"/>
              <w:left w:w="108" w:type="dxa"/>
              <w:bottom w:w="0" w:type="dxa"/>
              <w:right w:w="108" w:type="dxa"/>
            </w:tcMar>
            <w:vAlign w:val="center"/>
          </w:tcPr>
          <w:p w14:paraId="6B287B59">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基于北斗4G融合网关的分布式LoRa智能组网技术是利用分布式LoRa采集仪与北斗4G融合网关通过LoRa组网，实现数据的采集和上报。</w:t>
            </w:r>
          </w:p>
          <w:p w14:paraId="1BFDC7A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该技术具备全时段高覆盖的接入支持、长距离低功耗通信、具备容灾机制等特点。</w:t>
            </w:r>
          </w:p>
          <w:p w14:paraId="4FAD539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网关采用北斗三代+4G的双模通信多功能遥测感知技术，实现4G与北斗短报文的自动主备切换；同时可提供标准RS232、标准RS485接口、翻斗式雨量接口，实现大多数水文传感器的接入、采集、计算及协议上报。</w:t>
            </w:r>
          </w:p>
          <w:p w14:paraId="240103A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基于自主研发的LoRaMesh组网多跳传输技术，组成一个动态的可以不断扩展的网络架构，当一个网关出现故障时，所有的分布式LoRa节点可以自动迁移到备用网关，保证数据稳定传输。</w:t>
            </w:r>
          </w:p>
        </w:tc>
      </w:tr>
      <w:tr w14:paraId="321B28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jc w:val="center"/>
        </w:trPr>
        <w:tc>
          <w:tcPr>
            <w:tcW w:w="2049" w:type="dxa"/>
            <w:tcBorders>
              <w:tl2br w:val="nil"/>
              <w:tr2bl w:val="nil"/>
            </w:tcBorders>
            <w:tcMar>
              <w:top w:w="0" w:type="dxa"/>
              <w:left w:w="108" w:type="dxa"/>
              <w:bottom w:w="0" w:type="dxa"/>
              <w:right w:w="108" w:type="dxa"/>
            </w:tcMar>
            <w:vAlign w:val="center"/>
          </w:tcPr>
          <w:p w14:paraId="1CFCD85D">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主要完成人</w:t>
            </w:r>
          </w:p>
        </w:tc>
        <w:tc>
          <w:tcPr>
            <w:tcW w:w="7250" w:type="dxa"/>
            <w:gridSpan w:val="5"/>
            <w:tcBorders>
              <w:tl2br w:val="nil"/>
              <w:tr2bl w:val="nil"/>
            </w:tcBorders>
            <w:tcMar>
              <w:top w:w="0" w:type="dxa"/>
              <w:left w:w="108" w:type="dxa"/>
              <w:bottom w:w="0" w:type="dxa"/>
              <w:right w:w="108" w:type="dxa"/>
            </w:tcMar>
            <w:vAlign w:val="center"/>
          </w:tcPr>
          <w:p w14:paraId="5038DB68">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黄智科、李甜伟、陈名乐、苏朱明、邱跃明、陈文铨、官有发、陈久堃</w:t>
            </w:r>
          </w:p>
        </w:tc>
      </w:tr>
      <w:tr w14:paraId="792225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jc w:val="center"/>
        </w:trPr>
        <w:tc>
          <w:tcPr>
            <w:tcW w:w="2049" w:type="dxa"/>
            <w:tcBorders>
              <w:tl2br w:val="nil"/>
              <w:tr2bl w:val="nil"/>
            </w:tcBorders>
            <w:tcMar>
              <w:top w:w="0" w:type="dxa"/>
              <w:left w:w="108" w:type="dxa"/>
              <w:bottom w:w="0" w:type="dxa"/>
              <w:right w:w="108" w:type="dxa"/>
            </w:tcMar>
            <w:vAlign w:val="center"/>
          </w:tcPr>
          <w:p w14:paraId="44AA6A05">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鉴定认证、专利与获奖情况等</w:t>
            </w:r>
          </w:p>
        </w:tc>
        <w:tc>
          <w:tcPr>
            <w:tcW w:w="7250" w:type="dxa"/>
            <w:gridSpan w:val="5"/>
            <w:tcBorders>
              <w:tl2br w:val="nil"/>
              <w:tr2bl w:val="nil"/>
            </w:tcBorders>
            <w:tcMar>
              <w:top w:w="0" w:type="dxa"/>
              <w:left w:w="108" w:type="dxa"/>
              <w:bottom w:w="0" w:type="dxa"/>
              <w:right w:w="108" w:type="dxa"/>
            </w:tcMar>
            <w:vAlign w:val="center"/>
          </w:tcPr>
          <w:p w14:paraId="6E944FC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基于北斗4G融合网关的分布式LoRa智能组网技术所应用的产品经过多项权威认证，严格按照国家相关标准进行设计和生产，其功能指标、性能指标、电磁兼容、接口要求、安全防护等皆已取得第三方检测报告，检测项目符合标准包含：</w:t>
            </w:r>
          </w:p>
          <w:p w14:paraId="3AE46116">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BD420009-2015《北斗/全球卫星导航系统</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GNSS</w:t>
            </w:r>
            <w:r>
              <w:rPr>
                <w:rFonts w:hint="eastAsia" w:ascii="宋体" w:hAnsi="宋体" w:eastAsia="宋体" w:cs="Times New Roman"/>
                <w:kern w:val="0"/>
                <w:sz w:val="24"/>
                <w:szCs w:val="24"/>
                <w:lang w:val="en-US" w:eastAsia="zh-CN" w:bidi="ar-SA"/>
              </w:rPr>
              <w:t>）</w:t>
            </w:r>
            <w:r>
              <w:rPr>
                <w:rFonts w:hint="default" w:ascii="宋体" w:hAnsi="宋体" w:eastAsia="宋体" w:cs="Times New Roman"/>
                <w:kern w:val="0"/>
                <w:sz w:val="24"/>
                <w:szCs w:val="24"/>
                <w:lang w:val="en-US" w:eastAsia="zh-CN" w:bidi="ar-SA"/>
              </w:rPr>
              <w:t>测量型接收机通用规范》</w:t>
            </w:r>
          </w:p>
          <w:p w14:paraId="355D514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BD420007-2015《北斗用户终端RDSS单元性能要求及测试方法》</w:t>
            </w:r>
          </w:p>
          <w:p w14:paraId="4CCF553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CHB5.6-2009《北斗用户设备检定规程》</w:t>
            </w:r>
          </w:p>
          <w:p w14:paraId="1E2CC1B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bookmarkStart w:id="28" w:name="_Hlk172800829"/>
            <w:r>
              <w:rPr>
                <w:rFonts w:hint="default" w:ascii="宋体" w:hAnsi="宋体" w:eastAsia="宋体" w:cs="Times New Roman"/>
                <w:kern w:val="0"/>
                <w:sz w:val="24"/>
                <w:szCs w:val="24"/>
                <w:lang w:val="en-US" w:eastAsia="zh-CN" w:bidi="ar-SA"/>
              </w:rPr>
              <w:t>产品已取得知识产权</w:t>
            </w:r>
            <w:bookmarkEnd w:id="28"/>
            <w:r>
              <w:rPr>
                <w:rFonts w:hint="default" w:ascii="宋体" w:hAnsi="宋体" w:eastAsia="宋体" w:cs="Times New Roman"/>
                <w:kern w:val="0"/>
                <w:sz w:val="24"/>
                <w:szCs w:val="24"/>
                <w:lang w:val="en-US" w:eastAsia="zh-CN" w:bidi="ar-SA"/>
              </w:rPr>
              <w:t>如下：</w:t>
            </w:r>
          </w:p>
          <w:p w14:paraId="3F0A876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一种电池放电曲线测量装置及系统（实用新型专利）</w:t>
            </w:r>
          </w:p>
          <w:p w14:paraId="75B9C31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北斗三代通信软件V1.0.0（软著）</w:t>
            </w:r>
          </w:p>
          <w:p w14:paraId="4119BA4D">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北斗三代遥测终端软件V1.0.0（软著）</w:t>
            </w:r>
            <w:r>
              <w:rPr>
                <w:rFonts w:hint="default" w:ascii="宋体" w:hAnsi="宋体" w:eastAsia="宋体" w:cs="Times New Roman"/>
                <w:kern w:val="0"/>
                <w:sz w:val="24"/>
                <w:szCs w:val="24"/>
                <w:lang w:val="en-US" w:eastAsia="zh-CN" w:bidi="ar-SA"/>
              </w:rPr>
              <w:br w:type="textWrapping"/>
            </w:r>
            <w:r>
              <w:rPr>
                <w:rFonts w:hint="default" w:ascii="宋体" w:hAnsi="宋体" w:eastAsia="宋体" w:cs="Times New Roman"/>
                <w:kern w:val="0"/>
                <w:sz w:val="24"/>
                <w:szCs w:val="24"/>
                <w:lang w:val="en-US" w:eastAsia="zh-CN" w:bidi="ar-SA"/>
              </w:rPr>
              <w:t>产品获奖情况：</w:t>
            </w:r>
          </w:p>
          <w:p w14:paraId="51A7C607">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2024年度《全国水利系统招标产品重点采购目录》</w:t>
            </w:r>
          </w:p>
        </w:tc>
      </w:tr>
      <w:tr w14:paraId="3AE410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jc w:val="center"/>
        </w:trPr>
        <w:tc>
          <w:tcPr>
            <w:tcW w:w="2049" w:type="dxa"/>
            <w:tcBorders>
              <w:tl2br w:val="nil"/>
              <w:tr2bl w:val="nil"/>
            </w:tcBorders>
            <w:tcMar>
              <w:top w:w="0" w:type="dxa"/>
              <w:left w:w="108" w:type="dxa"/>
              <w:bottom w:w="0" w:type="dxa"/>
              <w:right w:w="108" w:type="dxa"/>
            </w:tcMar>
            <w:vAlign w:val="center"/>
          </w:tcPr>
          <w:p w14:paraId="2226C5F0">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适用范围</w:t>
            </w:r>
          </w:p>
        </w:tc>
        <w:tc>
          <w:tcPr>
            <w:tcW w:w="7250" w:type="dxa"/>
            <w:gridSpan w:val="5"/>
            <w:tcBorders>
              <w:tl2br w:val="nil"/>
              <w:tr2bl w:val="nil"/>
            </w:tcBorders>
            <w:tcMar>
              <w:top w:w="0" w:type="dxa"/>
              <w:left w:w="108" w:type="dxa"/>
              <w:bottom w:w="0" w:type="dxa"/>
              <w:right w:w="108" w:type="dxa"/>
            </w:tcMar>
            <w:vAlign w:val="center"/>
          </w:tcPr>
          <w:p w14:paraId="6E03CE6E">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该技术及产品广泛应用于无人区或者运营商网络容易受灾受损的区域，有线连接成本高或布线不便的场合。</w:t>
            </w:r>
          </w:p>
          <w:p w14:paraId="096E8D9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可解决以下具体问题：</w:t>
            </w:r>
          </w:p>
          <w:p w14:paraId="3A5B1AEC">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1.解决了无人区或者受灾地区运营商网络缺失的通信问题。</w:t>
            </w:r>
          </w:p>
          <w:p w14:paraId="73FEA4C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2.解决了传统有线网关故障时，所有通过线缆连接到网关的设备全部瘫痪的问题。</w:t>
            </w:r>
          </w:p>
          <w:p w14:paraId="59F96E42">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3.解决了部分有线场景成本高、布线走线施工周期长的问题。</w:t>
            </w:r>
          </w:p>
        </w:tc>
      </w:tr>
      <w:tr w14:paraId="3BFEC0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jc w:val="center"/>
        </w:trPr>
        <w:tc>
          <w:tcPr>
            <w:tcW w:w="2049" w:type="dxa"/>
            <w:tcBorders>
              <w:tl2br w:val="nil"/>
              <w:tr2bl w:val="nil"/>
            </w:tcBorders>
            <w:shd w:val="clear" w:color="auto" w:fill="auto"/>
            <w:tcMar>
              <w:top w:w="0" w:type="dxa"/>
              <w:left w:w="108" w:type="dxa"/>
              <w:bottom w:w="0" w:type="dxa"/>
              <w:right w:w="108" w:type="dxa"/>
            </w:tcMar>
            <w:vAlign w:val="center"/>
          </w:tcPr>
          <w:p w14:paraId="77B43C52">
            <w:pPr>
              <w:pageBreakBefore w:val="0"/>
              <w:widowControl/>
              <w:kinsoku/>
              <w:wordWrap/>
              <w:overflowPunct/>
              <w:topLinePunct w:val="0"/>
              <w:bidi w:val="0"/>
              <w:adjustRightInd w:val="0"/>
              <w:snapToGrid w:val="0"/>
              <w:spacing w:beforeAutospacing="0" w:afterAutospacing="0" w:line="440" w:lineRule="exact"/>
              <w:ind w:left="0" w:leftChars="0" w:right="0" w:firstLine="0" w:firstLineChars="0"/>
              <w:jc w:val="center"/>
              <w:textAlignment w:val="auto"/>
              <w:rPr>
                <w:rFonts w:hint="default" w:ascii="宋体" w:hAnsi="宋体" w:eastAsia="宋体" w:cs="Times New Roman"/>
                <w:kern w:val="0"/>
                <w:sz w:val="24"/>
                <w:szCs w:val="24"/>
              </w:rPr>
            </w:pPr>
            <w:r>
              <w:rPr>
                <w:rFonts w:hint="default" w:ascii="宋体" w:hAnsi="宋体" w:eastAsia="宋体" w:cs="Times New Roman"/>
                <w:kern w:val="0"/>
                <w:sz w:val="24"/>
                <w:szCs w:val="24"/>
              </w:rPr>
              <w:t>应用工程及效益</w:t>
            </w:r>
          </w:p>
        </w:tc>
        <w:tc>
          <w:tcPr>
            <w:tcW w:w="7250" w:type="dxa"/>
            <w:gridSpan w:val="5"/>
            <w:tcBorders>
              <w:tl2br w:val="nil"/>
              <w:tr2bl w:val="nil"/>
            </w:tcBorders>
            <w:shd w:val="clear" w:color="auto" w:fill="auto"/>
            <w:tcMar>
              <w:top w:w="0" w:type="dxa"/>
              <w:left w:w="108" w:type="dxa"/>
              <w:bottom w:w="0" w:type="dxa"/>
              <w:right w:w="108" w:type="dxa"/>
            </w:tcMar>
            <w:vAlign w:val="center"/>
          </w:tcPr>
          <w:p w14:paraId="39938A0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应用工程：</w:t>
            </w:r>
          </w:p>
          <w:p w14:paraId="7AE80653">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河南省灵宝市2021年“十四五”小型水库雨水情测报和安全监测设施项目</w:t>
            </w:r>
          </w:p>
          <w:p w14:paraId="0EAEF71F">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应用效益：</w:t>
            </w:r>
          </w:p>
          <w:p w14:paraId="0150FC54">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在灵宝市2021年“十四五”小型水库雨水情测报和安全监测设施项目中，应用F9164-BD105北斗4G双模设备10台；一次性投资超500万元；年均运行天数365天。</w:t>
            </w:r>
          </w:p>
          <w:p w14:paraId="380E3ED5">
            <w:pPr>
              <w:keepNext w:val="0"/>
              <w:keepLines w:val="0"/>
              <w:pageBreakBefore w:val="0"/>
              <w:widowControl/>
              <w:kinsoku/>
              <w:wordWrap/>
              <w:overflowPunct/>
              <w:topLinePunct w:val="0"/>
              <w:autoSpaceDE/>
              <w:autoSpaceDN/>
              <w:bidi w:val="0"/>
              <w:adjustRightInd w:val="0"/>
              <w:snapToGrid w:val="0"/>
              <w:spacing w:beforeAutospacing="0" w:afterAutospacing="0" w:line="440" w:lineRule="exact"/>
              <w:ind w:left="0" w:leftChars="0" w:right="0" w:firstLine="480" w:firstLineChars="200"/>
              <w:jc w:val="left"/>
              <w:textAlignment w:val="auto"/>
              <w:rPr>
                <w:rFonts w:hint="default" w:ascii="宋体" w:hAnsi="宋体" w:eastAsia="宋体" w:cs="Times New Roman"/>
                <w:sz w:val="24"/>
                <w:szCs w:val="24"/>
              </w:rPr>
            </w:pPr>
            <w:r>
              <w:rPr>
                <w:rFonts w:hint="default" w:ascii="宋体" w:hAnsi="宋体" w:eastAsia="宋体" w:cs="Times New Roman"/>
                <w:kern w:val="0"/>
                <w:sz w:val="24"/>
                <w:szCs w:val="24"/>
                <w:lang w:val="en-US" w:eastAsia="zh-CN" w:bidi="ar-SA"/>
              </w:rPr>
              <w:t>基于北斗4G融合网关的分布式LoRa智能组网技术的产品在该项目中，实现小型水库能够实时、准确地监测水文数据；现场设备组网稳定，运行可靠，操作便捷，使用效果良好，没有出现质量和安全等不良问题，产品技术支持服务响应速度迅速，服务满意；有效提高了水库管理的科学性和精细化水平，为水库的可持续发展提供了有力支撑。</w:t>
            </w:r>
          </w:p>
        </w:tc>
      </w:tr>
    </w:tbl>
    <w:p w14:paraId="564D35BE">
      <w:pPr>
        <w:pageBreakBefore w:val="0"/>
        <w:kinsoku/>
        <w:wordWrap/>
        <w:overflowPunct/>
        <w:topLinePunct w:val="0"/>
        <w:bidi w:val="0"/>
        <w:adjustRightInd w:val="0"/>
        <w:snapToGrid w:val="0"/>
        <w:spacing w:beforeAutospacing="0" w:afterAutospacing="0" w:line="440" w:lineRule="exact"/>
        <w:ind w:left="0" w:leftChars="0" w:right="0" w:firstLine="0" w:firstLineChars="0"/>
        <w:textAlignment w:val="auto"/>
        <w:rPr>
          <w:rFonts w:hint="default" w:ascii="宋体" w:hAnsi="宋体" w:cs="Times New Roman"/>
          <w:lang w:eastAsia="zh-CN"/>
        </w:rPr>
      </w:pPr>
    </w:p>
    <w:p w14:paraId="3D4BEB05">
      <w:pPr>
        <w:pStyle w:val="4"/>
        <w:keepNext/>
        <w:keepLines/>
        <w:pageBreakBefore/>
        <w:widowControl w:val="0"/>
        <w:kinsoku/>
        <w:wordWrap/>
        <w:overflowPunct/>
        <w:topLinePunct w:val="0"/>
        <w:autoSpaceDE/>
        <w:autoSpaceDN/>
        <w:bidi w:val="0"/>
        <w:adjustRightInd/>
        <w:snapToGrid/>
        <w:spacing w:line="240" w:lineRule="auto"/>
        <w:textAlignment w:val="auto"/>
        <w:rPr>
          <w:rFonts w:hint="default" w:ascii="宋体" w:hAnsi="宋体" w:cs="Times New Roman"/>
          <w:sz w:val="28"/>
          <w:szCs w:val="28"/>
          <w:lang w:val="en-US" w:eastAsia="zh-CN"/>
        </w:rPr>
      </w:pPr>
      <w:bookmarkStart w:id="29" w:name="_Toc24577"/>
      <w:r>
        <w:rPr>
          <w:rFonts w:hint="default" w:ascii="宋体" w:hAnsi="宋体" w:cs="Times New Roman"/>
          <w:sz w:val="28"/>
          <w:szCs w:val="28"/>
          <w:lang w:val="en-US" w:eastAsia="zh-CN"/>
        </w:rPr>
        <w:t>4.</w:t>
      </w:r>
      <w:r>
        <w:rPr>
          <w:rFonts w:hint="eastAsia" w:ascii="宋体" w:hAnsi="宋体" w:cs="Times New Roman"/>
          <w:sz w:val="28"/>
          <w:szCs w:val="28"/>
          <w:lang w:val="en-US" w:eastAsia="zh-CN"/>
        </w:rPr>
        <w:t>3</w:t>
      </w:r>
      <w:r>
        <w:rPr>
          <w:rFonts w:hint="default" w:ascii="宋体" w:hAnsi="宋体" w:cs="Times New Roman"/>
          <w:sz w:val="28"/>
          <w:szCs w:val="28"/>
          <w:lang w:val="en-US" w:eastAsia="zh-CN"/>
        </w:rPr>
        <w:t xml:space="preserve"> M&amp;R高时空分辨率微波测雨技术</w:t>
      </w:r>
      <w:bookmarkEnd w:id="29"/>
    </w:p>
    <w:tbl>
      <w:tblPr>
        <w:tblStyle w:val="28"/>
        <w:tblW w:w="939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43"/>
        <w:gridCol w:w="1535"/>
        <w:gridCol w:w="1063"/>
        <w:gridCol w:w="1603"/>
        <w:gridCol w:w="1207"/>
        <w:gridCol w:w="1842"/>
      </w:tblGrid>
      <w:tr w14:paraId="7E43B0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3" w:type="dxa"/>
            <w:tcBorders>
              <w:tl2br w:val="nil"/>
              <w:tr2bl w:val="nil"/>
            </w:tcBorders>
            <w:tcMar>
              <w:top w:w="0" w:type="dxa"/>
              <w:left w:w="108" w:type="dxa"/>
              <w:bottom w:w="0" w:type="dxa"/>
              <w:right w:w="108" w:type="dxa"/>
            </w:tcMar>
            <w:vAlign w:val="center"/>
          </w:tcPr>
          <w:p w14:paraId="42FF399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技术（产品）名称</w:t>
            </w:r>
          </w:p>
        </w:tc>
        <w:tc>
          <w:tcPr>
            <w:tcW w:w="7250" w:type="dxa"/>
            <w:gridSpan w:val="5"/>
            <w:tcBorders>
              <w:tl2br w:val="nil"/>
              <w:tr2bl w:val="nil"/>
            </w:tcBorders>
            <w:tcMar>
              <w:top w:w="0" w:type="dxa"/>
              <w:left w:w="108" w:type="dxa"/>
              <w:bottom w:w="0" w:type="dxa"/>
              <w:right w:w="108" w:type="dxa"/>
            </w:tcMar>
            <w:vAlign w:val="center"/>
          </w:tcPr>
          <w:p w14:paraId="370048A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M&amp;R高时空分辨率微波测雨技术</w:t>
            </w:r>
          </w:p>
        </w:tc>
      </w:tr>
      <w:tr w14:paraId="562BDA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3" w:type="dxa"/>
            <w:tcBorders>
              <w:tl2br w:val="nil"/>
              <w:tr2bl w:val="nil"/>
            </w:tcBorders>
            <w:tcMar>
              <w:top w:w="0" w:type="dxa"/>
              <w:left w:w="108" w:type="dxa"/>
              <w:bottom w:w="0" w:type="dxa"/>
              <w:right w:w="108" w:type="dxa"/>
            </w:tcMar>
            <w:vAlign w:val="center"/>
          </w:tcPr>
          <w:p w14:paraId="256500B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持有单位</w:t>
            </w:r>
          </w:p>
        </w:tc>
        <w:tc>
          <w:tcPr>
            <w:tcW w:w="7250" w:type="dxa"/>
            <w:gridSpan w:val="5"/>
            <w:tcBorders>
              <w:tl2br w:val="nil"/>
              <w:tr2bl w:val="nil"/>
            </w:tcBorders>
            <w:tcMar>
              <w:top w:w="0" w:type="dxa"/>
              <w:left w:w="108" w:type="dxa"/>
              <w:bottom w:w="0" w:type="dxa"/>
              <w:right w:w="108" w:type="dxa"/>
            </w:tcMar>
            <w:vAlign w:val="center"/>
          </w:tcPr>
          <w:p w14:paraId="4108EAD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val="en-US" w:eastAsia="zh-CN"/>
              </w:rPr>
              <w:t>江苏微之润智能技术有限公司</w:t>
            </w:r>
          </w:p>
        </w:tc>
      </w:tr>
      <w:tr w14:paraId="57D67A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3" w:type="dxa"/>
            <w:tcBorders>
              <w:tl2br w:val="nil"/>
              <w:tr2bl w:val="nil"/>
            </w:tcBorders>
            <w:tcMar>
              <w:top w:w="0" w:type="dxa"/>
              <w:left w:w="108" w:type="dxa"/>
              <w:bottom w:w="0" w:type="dxa"/>
              <w:right w:w="108" w:type="dxa"/>
            </w:tcMar>
            <w:vAlign w:val="center"/>
          </w:tcPr>
          <w:p w14:paraId="7C6DD45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单位地址</w:t>
            </w:r>
          </w:p>
        </w:tc>
        <w:tc>
          <w:tcPr>
            <w:tcW w:w="4201" w:type="dxa"/>
            <w:gridSpan w:val="3"/>
            <w:tcBorders>
              <w:tl2br w:val="nil"/>
              <w:tr2bl w:val="nil"/>
            </w:tcBorders>
            <w:tcMar>
              <w:top w:w="0" w:type="dxa"/>
              <w:left w:w="108" w:type="dxa"/>
              <w:bottom w:w="0" w:type="dxa"/>
              <w:right w:w="108" w:type="dxa"/>
            </w:tcMar>
            <w:vAlign w:val="center"/>
          </w:tcPr>
          <w:p w14:paraId="00C9104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江苏省江阴市澄江中路159号D405</w:t>
            </w:r>
          </w:p>
        </w:tc>
        <w:tc>
          <w:tcPr>
            <w:tcW w:w="1207" w:type="dxa"/>
            <w:tcBorders>
              <w:tl2br w:val="nil"/>
              <w:tr2bl w:val="nil"/>
            </w:tcBorders>
            <w:tcMar>
              <w:top w:w="0" w:type="dxa"/>
              <w:left w:w="108" w:type="dxa"/>
              <w:bottom w:w="0" w:type="dxa"/>
              <w:right w:w="108" w:type="dxa"/>
            </w:tcMar>
            <w:vAlign w:val="center"/>
          </w:tcPr>
          <w:p w14:paraId="6A1EAB9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邮政编码</w:t>
            </w:r>
          </w:p>
        </w:tc>
        <w:tc>
          <w:tcPr>
            <w:tcW w:w="1842" w:type="dxa"/>
            <w:tcBorders>
              <w:tl2br w:val="nil"/>
              <w:tr2bl w:val="nil"/>
            </w:tcBorders>
            <w:tcMar>
              <w:top w:w="0" w:type="dxa"/>
              <w:left w:w="108" w:type="dxa"/>
              <w:bottom w:w="0" w:type="dxa"/>
              <w:right w:w="108" w:type="dxa"/>
            </w:tcMar>
            <w:vAlign w:val="center"/>
          </w:tcPr>
          <w:p w14:paraId="43AAE58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214400</w:t>
            </w:r>
          </w:p>
        </w:tc>
      </w:tr>
      <w:tr w14:paraId="2188C1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67" w:hRule="exact"/>
          <w:jc w:val="center"/>
        </w:trPr>
        <w:tc>
          <w:tcPr>
            <w:tcW w:w="2143" w:type="dxa"/>
            <w:tcBorders>
              <w:tl2br w:val="nil"/>
              <w:tr2bl w:val="nil"/>
            </w:tcBorders>
            <w:tcMar>
              <w:top w:w="0" w:type="dxa"/>
              <w:left w:w="108" w:type="dxa"/>
              <w:bottom w:w="0" w:type="dxa"/>
              <w:right w:w="108" w:type="dxa"/>
            </w:tcMar>
            <w:vAlign w:val="center"/>
          </w:tcPr>
          <w:p w14:paraId="6B404AA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lang w:eastAsia="zh-CN"/>
              </w:rPr>
              <w:t>法人代表</w:t>
            </w:r>
          </w:p>
        </w:tc>
        <w:tc>
          <w:tcPr>
            <w:tcW w:w="1535" w:type="dxa"/>
            <w:tcBorders>
              <w:tl2br w:val="nil"/>
              <w:tr2bl w:val="nil"/>
            </w:tcBorders>
            <w:tcMar>
              <w:top w:w="0" w:type="dxa"/>
              <w:left w:w="108" w:type="dxa"/>
              <w:bottom w:w="0" w:type="dxa"/>
              <w:right w:w="108" w:type="dxa"/>
            </w:tcMar>
            <w:vAlign w:val="center"/>
          </w:tcPr>
          <w:p w14:paraId="1981525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吴浩楠</w:t>
            </w:r>
          </w:p>
        </w:tc>
        <w:tc>
          <w:tcPr>
            <w:tcW w:w="1063" w:type="dxa"/>
            <w:tcBorders>
              <w:tl2br w:val="nil"/>
              <w:tr2bl w:val="nil"/>
            </w:tcBorders>
            <w:tcMar>
              <w:top w:w="0" w:type="dxa"/>
              <w:left w:w="108" w:type="dxa"/>
              <w:bottom w:w="0" w:type="dxa"/>
              <w:right w:w="108" w:type="dxa"/>
            </w:tcMar>
            <w:vAlign w:val="center"/>
          </w:tcPr>
          <w:p w14:paraId="2734E9C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职务</w:t>
            </w:r>
          </w:p>
        </w:tc>
        <w:tc>
          <w:tcPr>
            <w:tcW w:w="1603" w:type="dxa"/>
            <w:tcBorders>
              <w:tl2br w:val="nil"/>
              <w:tr2bl w:val="nil"/>
            </w:tcBorders>
            <w:tcMar>
              <w:top w:w="0" w:type="dxa"/>
              <w:left w:w="108" w:type="dxa"/>
              <w:bottom w:w="0" w:type="dxa"/>
              <w:right w:w="108" w:type="dxa"/>
            </w:tcMar>
            <w:vAlign w:val="center"/>
          </w:tcPr>
          <w:p w14:paraId="0EF326F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总经理</w:t>
            </w:r>
          </w:p>
        </w:tc>
        <w:tc>
          <w:tcPr>
            <w:tcW w:w="1207" w:type="dxa"/>
            <w:tcBorders>
              <w:tl2br w:val="nil"/>
              <w:tr2bl w:val="nil"/>
            </w:tcBorders>
            <w:tcMar>
              <w:top w:w="0" w:type="dxa"/>
              <w:left w:w="108" w:type="dxa"/>
              <w:bottom w:w="0" w:type="dxa"/>
              <w:right w:w="108" w:type="dxa"/>
            </w:tcMar>
            <w:vAlign w:val="center"/>
          </w:tcPr>
          <w:p w14:paraId="7BF7CBF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电话</w:t>
            </w:r>
          </w:p>
        </w:tc>
        <w:tc>
          <w:tcPr>
            <w:tcW w:w="1842" w:type="dxa"/>
            <w:tcBorders>
              <w:tl2br w:val="nil"/>
              <w:tr2bl w:val="nil"/>
            </w:tcBorders>
            <w:shd w:val="clear" w:color="auto" w:fill="auto"/>
            <w:tcMar>
              <w:top w:w="0" w:type="dxa"/>
              <w:left w:w="108" w:type="dxa"/>
              <w:bottom w:w="0" w:type="dxa"/>
              <w:right w:w="108" w:type="dxa"/>
            </w:tcMar>
            <w:vAlign w:val="center"/>
          </w:tcPr>
          <w:p w14:paraId="75FADC4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宋体" w:hAnsi="宋体" w:cs="Times New Roman" w:eastAsiaTheme="minorEastAsia"/>
                <w:kern w:val="0"/>
                <w:sz w:val="24"/>
                <w:szCs w:val="24"/>
                <w:lang w:val="en-US" w:eastAsia="zh-CN" w:bidi="ar-SA"/>
              </w:rPr>
            </w:pPr>
            <w:r>
              <w:rPr>
                <w:rFonts w:hint="eastAsia" w:ascii="宋体" w:hAnsi="宋体" w:cs="Times New Roman"/>
                <w:kern w:val="0"/>
                <w:sz w:val="24"/>
                <w:szCs w:val="24"/>
                <w:lang w:val="en-US" w:eastAsia="zh-CN"/>
              </w:rPr>
              <w:t>0510-80660222</w:t>
            </w:r>
          </w:p>
        </w:tc>
      </w:tr>
      <w:tr w14:paraId="32E9C4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12" w:hRule="exact"/>
          <w:jc w:val="center"/>
        </w:trPr>
        <w:tc>
          <w:tcPr>
            <w:tcW w:w="2143" w:type="dxa"/>
            <w:tcBorders>
              <w:tl2br w:val="nil"/>
              <w:tr2bl w:val="nil"/>
            </w:tcBorders>
            <w:tcMar>
              <w:top w:w="0" w:type="dxa"/>
              <w:left w:w="108" w:type="dxa"/>
              <w:bottom w:w="0" w:type="dxa"/>
              <w:right w:w="108" w:type="dxa"/>
            </w:tcMar>
            <w:vAlign w:val="center"/>
          </w:tcPr>
          <w:p w14:paraId="102A7A7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联系人</w:t>
            </w:r>
          </w:p>
        </w:tc>
        <w:tc>
          <w:tcPr>
            <w:tcW w:w="1535" w:type="dxa"/>
            <w:tcBorders>
              <w:tl2br w:val="nil"/>
              <w:tr2bl w:val="nil"/>
            </w:tcBorders>
            <w:tcMar>
              <w:top w:w="0" w:type="dxa"/>
              <w:left w:w="108" w:type="dxa"/>
              <w:bottom w:w="0" w:type="dxa"/>
              <w:right w:w="108" w:type="dxa"/>
            </w:tcMar>
            <w:vAlign w:val="center"/>
          </w:tcPr>
          <w:p w14:paraId="39DA3F9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赵琦洁</w:t>
            </w:r>
          </w:p>
        </w:tc>
        <w:tc>
          <w:tcPr>
            <w:tcW w:w="1063" w:type="dxa"/>
            <w:tcBorders>
              <w:tl2br w:val="nil"/>
              <w:tr2bl w:val="nil"/>
            </w:tcBorders>
            <w:tcMar>
              <w:top w:w="0" w:type="dxa"/>
              <w:left w:w="108" w:type="dxa"/>
              <w:bottom w:w="0" w:type="dxa"/>
              <w:right w:w="108" w:type="dxa"/>
            </w:tcMar>
            <w:vAlign w:val="center"/>
          </w:tcPr>
          <w:p w14:paraId="5663599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电话</w:t>
            </w:r>
          </w:p>
        </w:tc>
        <w:tc>
          <w:tcPr>
            <w:tcW w:w="1603" w:type="dxa"/>
            <w:tcBorders>
              <w:tl2br w:val="nil"/>
              <w:tr2bl w:val="nil"/>
            </w:tcBorders>
            <w:tcMar>
              <w:top w:w="0" w:type="dxa"/>
              <w:left w:w="108" w:type="dxa"/>
              <w:bottom w:w="0" w:type="dxa"/>
              <w:right w:w="108" w:type="dxa"/>
            </w:tcMar>
            <w:vAlign w:val="center"/>
          </w:tcPr>
          <w:p w14:paraId="12BF79C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eastAsia" w:ascii="宋体" w:hAnsi="宋体" w:cs="Times New Roman"/>
                <w:kern w:val="0"/>
                <w:sz w:val="24"/>
                <w:szCs w:val="24"/>
                <w:lang w:val="en-US" w:eastAsia="zh-CN"/>
              </w:rPr>
              <w:t>0510-80660222</w:t>
            </w:r>
          </w:p>
        </w:tc>
        <w:tc>
          <w:tcPr>
            <w:tcW w:w="1207" w:type="dxa"/>
            <w:tcBorders>
              <w:tl2br w:val="nil"/>
              <w:tr2bl w:val="nil"/>
            </w:tcBorders>
            <w:tcMar>
              <w:top w:w="0" w:type="dxa"/>
              <w:left w:w="108" w:type="dxa"/>
              <w:bottom w:w="0" w:type="dxa"/>
              <w:right w:w="108" w:type="dxa"/>
            </w:tcMar>
            <w:vAlign w:val="center"/>
          </w:tcPr>
          <w:p w14:paraId="11CF6FB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E-mail</w:t>
            </w:r>
          </w:p>
        </w:tc>
        <w:tc>
          <w:tcPr>
            <w:tcW w:w="1842" w:type="dxa"/>
            <w:tcBorders>
              <w:tl2br w:val="nil"/>
              <w:tr2bl w:val="nil"/>
            </w:tcBorders>
            <w:tcMar>
              <w:top w:w="0" w:type="dxa"/>
              <w:left w:w="108" w:type="dxa"/>
              <w:bottom w:w="0" w:type="dxa"/>
              <w:right w:w="108" w:type="dxa"/>
            </w:tcMar>
            <w:vAlign w:val="center"/>
          </w:tcPr>
          <w:p w14:paraId="5D3DBA4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宋体" w:hAnsi="宋体" w:cs="Times New Roman" w:eastAsiaTheme="minorEastAsia"/>
                <w:kern w:val="0"/>
                <w:sz w:val="24"/>
                <w:szCs w:val="24"/>
                <w:lang w:val="en-US" w:eastAsia="zh-CN"/>
              </w:rPr>
            </w:pPr>
            <w:r>
              <w:rPr>
                <w:rFonts w:hint="default" w:ascii="宋体" w:hAnsi="宋体" w:cs="Times New Roman" w:eastAsiaTheme="minorEastAsia"/>
                <w:kern w:val="0"/>
                <w:sz w:val="24"/>
                <w:szCs w:val="24"/>
                <w:lang w:val="en-US" w:eastAsia="zh-CN"/>
              </w:rPr>
              <w:t>772701875@qq.com</w:t>
            </w:r>
          </w:p>
        </w:tc>
      </w:tr>
      <w:tr w14:paraId="18A7FC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2938" w:hRule="atLeast"/>
          <w:jc w:val="center"/>
        </w:trPr>
        <w:tc>
          <w:tcPr>
            <w:tcW w:w="2143" w:type="dxa"/>
            <w:tcBorders>
              <w:tl2br w:val="nil"/>
              <w:tr2bl w:val="nil"/>
            </w:tcBorders>
            <w:tcMar>
              <w:top w:w="0" w:type="dxa"/>
              <w:left w:w="108" w:type="dxa"/>
              <w:bottom w:w="0" w:type="dxa"/>
              <w:right w:w="108" w:type="dxa"/>
            </w:tcMar>
            <w:vAlign w:val="center"/>
          </w:tcPr>
          <w:p w14:paraId="43325D92">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rPr>
              <w:t>持有单位简介</w:t>
            </w:r>
          </w:p>
        </w:tc>
        <w:tc>
          <w:tcPr>
            <w:tcW w:w="7250" w:type="dxa"/>
            <w:gridSpan w:val="5"/>
            <w:tcBorders>
              <w:tl2br w:val="nil"/>
              <w:tr2bl w:val="nil"/>
            </w:tcBorders>
            <w:tcMar>
              <w:top w:w="0" w:type="dxa"/>
              <w:left w:w="108" w:type="dxa"/>
              <w:bottom w:w="0" w:type="dxa"/>
              <w:right w:w="108" w:type="dxa"/>
            </w:tcMar>
            <w:vAlign w:val="center"/>
          </w:tcPr>
          <w:p w14:paraId="0C871945">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江苏微之润智能技术有限公司位于江阴市国家高新创业园区，致力于面向水利（文）、气象、城运、交通、农业等行业智能产品的自主创新研发与智慧应用，是集“产、学、研”于一体的高新技术企业。成立了“微波测雨工程技术中心”和“智慧水利（务）产品研发中心”，自主研发了M&amp;R高时空分辨率微波测雨技术、高性能水工情一体化采控终端等多项具有核心竞争力的软硬件产品，拥有若干项发明专利和软件著作权。</w:t>
            </w:r>
          </w:p>
        </w:tc>
      </w:tr>
      <w:tr w14:paraId="772539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3068" w:hRule="atLeast"/>
          <w:jc w:val="center"/>
        </w:trPr>
        <w:tc>
          <w:tcPr>
            <w:tcW w:w="2143" w:type="dxa"/>
            <w:tcBorders>
              <w:tl2br w:val="nil"/>
              <w:tr2bl w:val="nil"/>
            </w:tcBorders>
            <w:tcMar>
              <w:top w:w="0" w:type="dxa"/>
              <w:left w:w="108" w:type="dxa"/>
              <w:bottom w:w="0" w:type="dxa"/>
              <w:right w:w="108" w:type="dxa"/>
            </w:tcMar>
            <w:vAlign w:val="center"/>
          </w:tcPr>
          <w:p w14:paraId="5937B9A7">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技术（产品）简介</w:t>
            </w:r>
          </w:p>
        </w:tc>
        <w:tc>
          <w:tcPr>
            <w:tcW w:w="7250" w:type="dxa"/>
            <w:gridSpan w:val="5"/>
            <w:tcBorders>
              <w:tl2br w:val="nil"/>
              <w:tr2bl w:val="nil"/>
            </w:tcBorders>
            <w:tcMar>
              <w:top w:w="0" w:type="dxa"/>
              <w:left w:w="108" w:type="dxa"/>
              <w:bottom w:w="0" w:type="dxa"/>
              <w:right w:w="108" w:type="dxa"/>
            </w:tcMar>
            <w:vAlign w:val="center"/>
          </w:tcPr>
          <w:p w14:paraId="611B695C">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M&amp;R高频微波链路测雨技术是利用高频微波信号的敏感特性，实时采集降雨对微波传输信号产生的衰减量，通过晴雨区分及人工智能反演算法、GIS平台展示的一项创新技术。具有“快（指分秒级回传测雨数据）精（指500*500米的网格雨量数据）准（指对小雨至特大暴雨都能精准监测）”的特点，能针对性解决城镇、流域、水库、山区、路网等特殊场景的测雨难点痛点，满足应急、水利、交通、环保、农业及导航等行业的应用需求。</w:t>
            </w:r>
          </w:p>
        </w:tc>
      </w:tr>
      <w:tr w14:paraId="20871C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43" w:type="dxa"/>
            <w:tcBorders>
              <w:tl2br w:val="nil"/>
              <w:tr2bl w:val="nil"/>
            </w:tcBorders>
            <w:tcMar>
              <w:top w:w="0" w:type="dxa"/>
              <w:left w:w="108" w:type="dxa"/>
              <w:bottom w:w="0" w:type="dxa"/>
              <w:right w:w="108" w:type="dxa"/>
            </w:tcMar>
            <w:vAlign w:val="center"/>
          </w:tcPr>
          <w:p w14:paraId="0A8A986F">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0" w:firstLineChars="0"/>
              <w:jc w:val="center"/>
              <w:textAlignment w:val="auto"/>
              <w:rPr>
                <w:rFonts w:hint="default" w:ascii="宋体" w:hAnsi="宋体" w:cs="Times New Roman" w:eastAsiaTheme="minorEastAsia"/>
                <w:kern w:val="0"/>
                <w:sz w:val="24"/>
                <w:szCs w:val="24"/>
                <w:lang w:eastAsia="zh-CN"/>
              </w:rPr>
            </w:pPr>
            <w:r>
              <w:rPr>
                <w:rFonts w:hint="default" w:ascii="宋体" w:hAnsi="宋体" w:cs="Times New Roman" w:eastAsiaTheme="minorEastAsia"/>
                <w:kern w:val="0"/>
                <w:sz w:val="24"/>
                <w:szCs w:val="24"/>
                <w:lang w:eastAsia="zh-CN"/>
              </w:rPr>
              <w:t>主要完成人</w:t>
            </w:r>
          </w:p>
        </w:tc>
        <w:tc>
          <w:tcPr>
            <w:tcW w:w="7250" w:type="dxa"/>
            <w:gridSpan w:val="5"/>
            <w:tcBorders>
              <w:tl2br w:val="nil"/>
              <w:tr2bl w:val="nil"/>
            </w:tcBorders>
            <w:tcMar>
              <w:top w:w="0" w:type="dxa"/>
              <w:left w:w="108" w:type="dxa"/>
              <w:bottom w:w="0" w:type="dxa"/>
              <w:right w:w="108" w:type="dxa"/>
            </w:tcMar>
            <w:vAlign w:val="center"/>
          </w:tcPr>
          <w:p w14:paraId="527E973E">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吴浩楠、徐小军、范亚峰、韩江新、李清</w:t>
            </w:r>
          </w:p>
        </w:tc>
      </w:tr>
      <w:tr w14:paraId="27B3D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43" w:type="dxa"/>
            <w:tcBorders>
              <w:tl2br w:val="nil"/>
              <w:tr2bl w:val="nil"/>
            </w:tcBorders>
            <w:tcMar>
              <w:top w:w="0" w:type="dxa"/>
              <w:left w:w="108" w:type="dxa"/>
              <w:bottom w:w="0" w:type="dxa"/>
              <w:right w:w="108" w:type="dxa"/>
            </w:tcMar>
            <w:vAlign w:val="center"/>
          </w:tcPr>
          <w:p w14:paraId="2A807F8D">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鉴定认证、专利与获奖情况等</w:t>
            </w:r>
          </w:p>
        </w:tc>
        <w:tc>
          <w:tcPr>
            <w:tcW w:w="7250" w:type="dxa"/>
            <w:gridSpan w:val="5"/>
            <w:tcBorders>
              <w:tl2br w:val="nil"/>
              <w:tr2bl w:val="nil"/>
            </w:tcBorders>
            <w:tcMar>
              <w:top w:w="0" w:type="dxa"/>
              <w:left w:w="108" w:type="dxa"/>
              <w:bottom w:w="0" w:type="dxa"/>
              <w:right w:w="108" w:type="dxa"/>
            </w:tcMar>
            <w:vAlign w:val="center"/>
          </w:tcPr>
          <w:p w14:paraId="3A183F79">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1、科技获奖：</w:t>
            </w:r>
          </w:p>
          <w:p w14:paraId="0ABA029F">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（1）长江技术经济学会《长江科学技术奖技术发明奖一等奖》、（2）中国气象服务协会《科学技术奖气象技术发明奖二等奖》、（3）江苏省《水利科技进步一等奖》；</w:t>
            </w:r>
          </w:p>
          <w:p w14:paraId="534383DA">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2、推广目录：</w:t>
            </w:r>
          </w:p>
          <w:p w14:paraId="0BA2E6DA">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水利部《智慧水利优秀应用案例》</w:t>
            </w:r>
          </w:p>
          <w:p w14:paraId="2B0FAB3B">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水利部《水文测报新技术装备推广目录》</w:t>
            </w:r>
          </w:p>
          <w:p w14:paraId="61999C72">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水利部《水利实用先进技术推广证书》</w:t>
            </w:r>
          </w:p>
          <w:p w14:paraId="7C5AD7CA">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水利部《成熟适用水利科技成果》</w:t>
            </w:r>
          </w:p>
          <w:p w14:paraId="5193A889">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江苏省《水利工程监测新技术装备推广目录》</w:t>
            </w:r>
          </w:p>
          <w:p w14:paraId="0F1DE348">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江苏省《重点推广应用的新技术新产品目录24、29》</w:t>
            </w:r>
          </w:p>
          <w:p w14:paraId="10917A4E">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江苏省《财政政府采购目录》</w:t>
            </w:r>
          </w:p>
          <w:p w14:paraId="6FDF174A">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江苏省《大数据产业发展试点示范项目》等</w:t>
            </w:r>
          </w:p>
          <w:p w14:paraId="7E1C19C0">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3、成果评价：</w:t>
            </w:r>
          </w:p>
          <w:p w14:paraId="7644D591">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以中国工程院钮新强院士为组长的专家组一致评价，项目成果整体达到国际先进水平</w:t>
            </w:r>
            <w:r>
              <w:rPr>
                <w:rFonts w:hint="eastAsia" w:ascii="宋体" w:hAnsi="宋体" w:eastAsia="宋体" w:cs="Times New Roman"/>
                <w:kern w:val="0"/>
                <w:sz w:val="24"/>
                <w:szCs w:val="24"/>
                <w:lang w:val="en-US" w:eastAsia="zh-CN" w:bidi="ar-SA"/>
              </w:rPr>
              <w:t>；</w:t>
            </w:r>
          </w:p>
          <w:p w14:paraId="684EB5FE">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以中国气象局原副局长许小峰研究员为组长的专家组评价该项目成果整体达到国际先进水平。</w:t>
            </w:r>
          </w:p>
          <w:p w14:paraId="1C254A08">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4、发明专利：</w:t>
            </w:r>
          </w:p>
          <w:p w14:paraId="0B1A00C3">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（1）降雨监测的微波设备组网方法及其降雨监测方法（专利号：ZL202010897214.9</w:t>
            </w:r>
            <w:r>
              <w:rPr>
                <w:rFonts w:hint="eastAsia" w:ascii="宋体" w:hAnsi="宋体" w:eastAsia="宋体" w:cs="Times New Roman"/>
                <w:kern w:val="0"/>
                <w:sz w:val="24"/>
                <w:szCs w:val="24"/>
                <w:lang w:val="en-US" w:eastAsia="zh-CN" w:bidi="ar-SA"/>
              </w:rPr>
              <w:t>）</w:t>
            </w:r>
          </w:p>
          <w:p w14:paraId="070975D7">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（2）一种智能多频微波降雨监测方法（专利号：ZL202010899066.4</w:t>
            </w:r>
            <w:r>
              <w:rPr>
                <w:rFonts w:hint="eastAsia" w:ascii="宋体" w:hAnsi="宋体" w:eastAsia="宋体" w:cs="Times New Roman"/>
                <w:kern w:val="0"/>
                <w:sz w:val="24"/>
                <w:szCs w:val="24"/>
                <w:lang w:val="en-US" w:eastAsia="zh-CN" w:bidi="ar-SA"/>
              </w:rPr>
              <w:t>）</w:t>
            </w:r>
          </w:p>
          <w:p w14:paraId="01D4E428">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（3）高时空分辨率微波降雨监测方法（专利号：ZL202010898763.8</w:t>
            </w:r>
            <w:r>
              <w:rPr>
                <w:rFonts w:hint="eastAsia" w:ascii="宋体" w:hAnsi="宋体" w:eastAsia="宋体" w:cs="Times New Roman"/>
                <w:kern w:val="0"/>
                <w:sz w:val="24"/>
                <w:szCs w:val="24"/>
                <w:lang w:val="en-US" w:eastAsia="zh-CN" w:bidi="ar-SA"/>
              </w:rPr>
              <w:t>）</w:t>
            </w:r>
          </w:p>
          <w:p w14:paraId="605980F4">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（4）一种利用深度强化学习的自动调节对波机械转轴的方法（专利号：ZL202111676664.6</w:t>
            </w:r>
            <w:r>
              <w:rPr>
                <w:rFonts w:hint="eastAsia" w:ascii="宋体" w:hAnsi="宋体" w:eastAsia="宋体" w:cs="Times New Roman"/>
                <w:kern w:val="0"/>
                <w:sz w:val="24"/>
                <w:szCs w:val="24"/>
                <w:lang w:val="en-US" w:eastAsia="zh-CN" w:bidi="ar-SA"/>
              </w:rPr>
              <w:t>）</w:t>
            </w:r>
          </w:p>
        </w:tc>
      </w:tr>
      <w:tr w14:paraId="1C711B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435" w:hRule="atLeast"/>
          <w:jc w:val="center"/>
        </w:trPr>
        <w:tc>
          <w:tcPr>
            <w:tcW w:w="2143" w:type="dxa"/>
            <w:tcBorders>
              <w:tl2br w:val="nil"/>
              <w:tr2bl w:val="nil"/>
            </w:tcBorders>
            <w:tcMar>
              <w:top w:w="0" w:type="dxa"/>
              <w:left w:w="108" w:type="dxa"/>
              <w:bottom w:w="0" w:type="dxa"/>
              <w:right w:w="108" w:type="dxa"/>
            </w:tcMar>
            <w:vAlign w:val="center"/>
          </w:tcPr>
          <w:p w14:paraId="5BDBD358">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适用范围</w:t>
            </w:r>
          </w:p>
        </w:tc>
        <w:tc>
          <w:tcPr>
            <w:tcW w:w="7250" w:type="dxa"/>
            <w:gridSpan w:val="5"/>
            <w:tcBorders>
              <w:tl2br w:val="nil"/>
              <w:tr2bl w:val="nil"/>
            </w:tcBorders>
            <w:tcMar>
              <w:top w:w="0" w:type="dxa"/>
              <w:left w:w="108" w:type="dxa"/>
              <w:bottom w:w="0" w:type="dxa"/>
              <w:right w:w="108" w:type="dxa"/>
            </w:tcMar>
            <w:vAlign w:val="center"/>
          </w:tcPr>
          <w:p w14:paraId="74E3780B">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可应用于气象、水利、水文、农业、交通、应急、环保等行业进行推广应用，该技术可广泛为山洪地质灾害预警、中小河流洪水预警、大江大河洪水预报、水资源调度决策等提供高质量服务。</w:t>
            </w:r>
          </w:p>
        </w:tc>
      </w:tr>
      <w:tr w14:paraId="2D170D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52" w:hRule="atLeast"/>
          <w:jc w:val="center"/>
        </w:trPr>
        <w:tc>
          <w:tcPr>
            <w:tcW w:w="2143" w:type="dxa"/>
            <w:tcBorders>
              <w:tl2br w:val="nil"/>
              <w:tr2bl w:val="nil"/>
            </w:tcBorders>
            <w:tcMar>
              <w:top w:w="0" w:type="dxa"/>
              <w:left w:w="108" w:type="dxa"/>
              <w:bottom w:w="0" w:type="dxa"/>
              <w:right w:w="108" w:type="dxa"/>
            </w:tcMar>
            <w:vAlign w:val="center"/>
          </w:tcPr>
          <w:p w14:paraId="5458B110">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0" w:firstLineChars="0"/>
              <w:jc w:val="center"/>
              <w:textAlignment w:val="auto"/>
              <w:rPr>
                <w:rFonts w:hint="default" w:ascii="宋体" w:hAnsi="宋体" w:cs="Times New Roman" w:eastAsiaTheme="minorEastAsia"/>
                <w:kern w:val="0"/>
                <w:sz w:val="24"/>
                <w:szCs w:val="24"/>
              </w:rPr>
            </w:pPr>
            <w:r>
              <w:rPr>
                <w:rFonts w:hint="default" w:ascii="宋体" w:hAnsi="宋体" w:cs="Times New Roman" w:eastAsiaTheme="minorEastAsia"/>
                <w:kern w:val="0"/>
                <w:sz w:val="24"/>
                <w:szCs w:val="24"/>
              </w:rPr>
              <w:t>应用工程及效益</w:t>
            </w:r>
          </w:p>
        </w:tc>
        <w:tc>
          <w:tcPr>
            <w:tcW w:w="7250" w:type="dxa"/>
            <w:gridSpan w:val="5"/>
            <w:tcBorders>
              <w:tl2br w:val="nil"/>
              <w:tr2bl w:val="nil"/>
            </w:tcBorders>
            <w:tcMar>
              <w:top w:w="0" w:type="dxa"/>
              <w:left w:w="108" w:type="dxa"/>
              <w:bottom w:w="0" w:type="dxa"/>
              <w:right w:w="108" w:type="dxa"/>
            </w:tcMar>
            <w:vAlign w:val="center"/>
          </w:tcPr>
          <w:p w14:paraId="4E213114">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该项目已在江苏江阴市、苏州市、无锡市、徐州市、扬州市、四川汶川县及福建省福州市等均得到良好应用，推广前景十分广阔。</w:t>
            </w:r>
          </w:p>
          <w:p w14:paraId="167BA3C1">
            <w:pPr>
              <w:keepNext w:val="0"/>
              <w:keepLines w:val="0"/>
              <w:pageBreakBefore w:val="0"/>
              <w:widowControl/>
              <w:kinsoku/>
              <w:wordWrap/>
              <w:overflowPunct/>
              <w:topLinePunct w:val="0"/>
              <w:autoSpaceDE/>
              <w:autoSpaceDN/>
              <w:bidi w:val="0"/>
              <w:adjustRightInd w:val="0"/>
              <w:snapToGrid w:val="0"/>
              <w:spacing w:beforeAutospacing="0" w:afterAutospacing="0" w:line="420" w:lineRule="exact"/>
              <w:ind w:left="0" w:leftChars="0" w:right="0" w:firstLine="480" w:firstLineChars="200"/>
              <w:jc w:val="left"/>
              <w:textAlignment w:val="auto"/>
              <w:rPr>
                <w:rFonts w:hint="default" w:ascii="宋体" w:hAnsi="宋体" w:eastAsia="宋体" w:cs="Times New Roman"/>
                <w:kern w:val="0"/>
                <w:sz w:val="24"/>
                <w:szCs w:val="24"/>
                <w:lang w:val="en-US" w:eastAsia="zh-CN" w:bidi="ar-SA"/>
              </w:rPr>
            </w:pPr>
            <w:r>
              <w:rPr>
                <w:rFonts w:hint="default" w:ascii="宋体" w:hAnsi="宋体" w:eastAsia="宋体" w:cs="Times New Roman"/>
                <w:kern w:val="0"/>
                <w:sz w:val="24"/>
                <w:szCs w:val="24"/>
                <w:lang w:val="en-US" w:eastAsia="zh-CN" w:bidi="ar-SA"/>
              </w:rPr>
              <w:t>通过运用，针对性解决了城镇、流域、山区等结构复杂、观测受限场景的高时空分辨率降雨监测“快、精、准”的难点问题。降雨数据通过高频微波测雨平台实时展示，直观获取降雨数据。通过平台的监测和服务，实现对区域内降雨的“快、精、准”监测服务能力，为城市内涝、江河调度、道路交通指挥、城市生活等多种场景提供数据支撑，进一步提高灾害性强降雨及次生灾害的准确监测和预警能力，降低水旱灾害损失。</w:t>
            </w:r>
          </w:p>
        </w:tc>
      </w:tr>
    </w:tbl>
    <w:p w14:paraId="275D43C9">
      <w:pPr>
        <w:pStyle w:val="11"/>
        <w:keepNext w:val="0"/>
        <w:keepLines w:val="0"/>
        <w:pageBreakBefore w:val="0"/>
        <w:kinsoku/>
        <w:wordWrap/>
        <w:overflowPunct/>
        <w:topLinePunct w:val="0"/>
        <w:autoSpaceDE/>
        <w:autoSpaceDN/>
        <w:bidi w:val="0"/>
        <w:adjustRightInd w:val="0"/>
        <w:snapToGrid w:val="0"/>
        <w:spacing w:beforeAutospacing="0" w:afterAutospacing="0" w:line="400" w:lineRule="exact"/>
        <w:ind w:left="0" w:leftChars="0" w:right="0" w:firstLine="0" w:firstLineChars="0"/>
        <w:jc w:val="both"/>
        <w:textAlignment w:val="auto"/>
        <w:rPr>
          <w:rFonts w:hint="default" w:ascii="宋体" w:hAnsi="宋体" w:cs="Times New Roman"/>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BE649">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F44B1">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B96808">
                          <w:pPr>
                            <w:snapToGrid w:val="0"/>
                            <w:rPr>
                              <w:rFonts w:hint="default" w:ascii="Times New Roman" w:hAnsi="Times New Roman" w:cs="Times New Roman" w:eastAsiaTheme="minorEastAsia"/>
                              <w:sz w:val="18"/>
                              <w:lang w:eastAsia="zh-CN"/>
                            </w:rPr>
                          </w:pPr>
                          <w:r>
                            <w:rPr>
                              <w:rFonts w:hint="default" w:ascii="Times New Roman" w:hAnsi="Times New Roman" w:cs="Times New Roman"/>
                              <w:sz w:val="18"/>
                              <w:lang w:eastAsia="zh-CN"/>
                            </w:rPr>
                            <w:t xml:space="preserve">— </w:t>
                          </w: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2</w:t>
                          </w:r>
                          <w:r>
                            <w:rPr>
                              <w:rFonts w:hint="default" w:ascii="Times New Roman" w:hAnsi="Times New Roman" w:cs="Times New Roman"/>
                              <w:sz w:val="18"/>
                              <w:lang w:eastAsia="zh-CN"/>
                            </w:rPr>
                            <w:fldChar w:fldCharType="end"/>
                          </w:r>
                          <w:r>
                            <w:rPr>
                              <w:rFonts w:hint="default" w:ascii="Times New Roman" w:hAnsi="Times New Roman" w:cs="Times New Roman"/>
                              <w:sz w:val="1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1B96808">
                    <w:pPr>
                      <w:snapToGrid w:val="0"/>
                      <w:rPr>
                        <w:rFonts w:hint="default" w:ascii="Times New Roman" w:hAnsi="Times New Roman" w:cs="Times New Roman" w:eastAsiaTheme="minorEastAsia"/>
                        <w:sz w:val="18"/>
                        <w:lang w:eastAsia="zh-CN"/>
                      </w:rPr>
                    </w:pPr>
                    <w:r>
                      <w:rPr>
                        <w:rFonts w:hint="default" w:ascii="Times New Roman" w:hAnsi="Times New Roman" w:cs="Times New Roman"/>
                        <w:sz w:val="18"/>
                        <w:lang w:eastAsia="zh-CN"/>
                      </w:rPr>
                      <w:t xml:space="preserve">— </w:t>
                    </w: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2</w:t>
                    </w:r>
                    <w:r>
                      <w:rPr>
                        <w:rFonts w:hint="default" w:ascii="Times New Roman" w:hAnsi="Times New Roman" w:cs="Times New Roman"/>
                        <w:sz w:val="18"/>
                        <w:lang w:eastAsia="zh-CN"/>
                      </w:rPr>
                      <w:fldChar w:fldCharType="end"/>
                    </w:r>
                    <w:r>
                      <w:rPr>
                        <w:rFonts w:hint="default" w:ascii="Times New Roman" w:hAnsi="Times New Roman" w:cs="Times New Roman"/>
                        <w:sz w:val="1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8E3C3B"/>
    <w:multiLevelType w:val="singleLevel"/>
    <w:tmpl w:val="9B8E3C3B"/>
    <w:lvl w:ilvl="0" w:tentative="0">
      <w:start w:val="1"/>
      <w:numFmt w:val="decimal"/>
      <w:suff w:val="nothing"/>
      <w:lvlText w:val="（%1）"/>
      <w:lvlJc w:val="left"/>
      <w:pPr>
        <w:ind w:left="240" w:firstLine="0"/>
      </w:pPr>
    </w:lvl>
  </w:abstractNum>
  <w:abstractNum w:abstractNumId="1">
    <w:nsid w:val="C733A12A"/>
    <w:multiLevelType w:val="singleLevel"/>
    <w:tmpl w:val="C733A12A"/>
    <w:lvl w:ilvl="0" w:tentative="0">
      <w:start w:val="1"/>
      <w:numFmt w:val="decimal"/>
      <w:suff w:val="nothing"/>
      <w:lvlText w:val="（%1）"/>
      <w:lvlJc w:val="left"/>
      <w:pPr>
        <w:ind w:left="240" w:firstLine="0"/>
      </w:pPr>
    </w:lvl>
  </w:abstractNum>
  <w:abstractNum w:abstractNumId="2">
    <w:nsid w:val="CA3B2E3B"/>
    <w:multiLevelType w:val="singleLevel"/>
    <w:tmpl w:val="CA3B2E3B"/>
    <w:lvl w:ilvl="0" w:tentative="0">
      <w:start w:val="1"/>
      <w:numFmt w:val="decimal"/>
      <w:lvlText w:val="(%1)"/>
      <w:lvlJc w:val="left"/>
      <w:pPr>
        <w:tabs>
          <w:tab w:val="left" w:pos="312"/>
        </w:tabs>
        <w:ind w:left="360" w:firstLine="0"/>
      </w:pPr>
    </w:lvl>
  </w:abstractNum>
  <w:abstractNum w:abstractNumId="3">
    <w:nsid w:val="CABFF62F"/>
    <w:multiLevelType w:val="singleLevel"/>
    <w:tmpl w:val="CABFF62F"/>
    <w:lvl w:ilvl="0" w:tentative="0">
      <w:start w:val="1"/>
      <w:numFmt w:val="decimal"/>
      <w:suff w:val="space"/>
      <w:lvlText w:val="%1."/>
      <w:lvlJc w:val="left"/>
    </w:lvl>
  </w:abstractNum>
  <w:abstractNum w:abstractNumId="4">
    <w:nsid w:val="E4ADB305"/>
    <w:multiLevelType w:val="singleLevel"/>
    <w:tmpl w:val="E4ADB305"/>
    <w:lvl w:ilvl="0" w:tentative="0">
      <w:start w:val="1"/>
      <w:numFmt w:val="decimal"/>
      <w:lvlText w:val="%1."/>
      <w:lvlJc w:val="left"/>
      <w:pPr>
        <w:tabs>
          <w:tab w:val="left" w:pos="312"/>
        </w:tabs>
      </w:pPr>
    </w:lvl>
  </w:abstractNum>
  <w:abstractNum w:abstractNumId="5">
    <w:nsid w:val="FCA6C5EF"/>
    <w:multiLevelType w:val="singleLevel"/>
    <w:tmpl w:val="FCA6C5EF"/>
    <w:lvl w:ilvl="0" w:tentative="0">
      <w:start w:val="1"/>
      <w:numFmt w:val="decimal"/>
      <w:suff w:val="nothing"/>
      <w:lvlText w:val="（%1）"/>
      <w:lvlJc w:val="left"/>
    </w:lvl>
  </w:abstractNum>
  <w:abstractNum w:abstractNumId="6">
    <w:nsid w:val="1632522D"/>
    <w:multiLevelType w:val="multilevel"/>
    <w:tmpl w:val="1632522D"/>
    <w:lvl w:ilvl="0" w:tentative="0">
      <w:start w:val="1"/>
      <w:numFmt w:val="upperRoman"/>
      <w:lvlText w:val="%1."/>
      <w:lvlJc w:val="left"/>
      <w:pPr>
        <w:ind w:left="0" w:firstLine="0"/>
      </w:pPr>
    </w:lvl>
    <w:lvl w:ilvl="1" w:tentative="0">
      <w:start w:val="1"/>
      <w:numFmt w:val="upperLetter"/>
      <w:lvlText w:val="%2."/>
      <w:lvlJc w:val="left"/>
      <w:pPr>
        <w:ind w:left="851" w:firstLine="0"/>
      </w:pPr>
    </w:lvl>
    <w:lvl w:ilvl="2" w:tentative="0">
      <w:start w:val="1"/>
      <w:numFmt w:val="decimal"/>
      <w:lvlText w:val="%3."/>
      <w:lvlJc w:val="left"/>
      <w:pPr>
        <w:ind w:left="1701" w:firstLine="0"/>
      </w:pPr>
    </w:lvl>
    <w:lvl w:ilvl="3" w:tentative="0">
      <w:start w:val="1"/>
      <w:numFmt w:val="lowerLetter"/>
      <w:lvlText w:val="%4)"/>
      <w:lvlJc w:val="left"/>
      <w:pPr>
        <w:ind w:left="2551" w:firstLine="0"/>
      </w:pPr>
    </w:lvl>
    <w:lvl w:ilvl="4" w:tentative="0">
      <w:start w:val="1"/>
      <w:numFmt w:val="decimal"/>
      <w:pStyle w:val="7"/>
      <w:lvlText w:val="(%5)"/>
      <w:lvlJc w:val="left"/>
      <w:pPr>
        <w:ind w:left="3402" w:firstLine="0"/>
      </w:pPr>
    </w:lvl>
    <w:lvl w:ilvl="5" w:tentative="0">
      <w:start w:val="1"/>
      <w:numFmt w:val="lowerLetter"/>
      <w:lvlText w:val="(%6)"/>
      <w:lvlJc w:val="left"/>
      <w:pPr>
        <w:ind w:left="4252" w:firstLine="0"/>
      </w:pPr>
    </w:lvl>
    <w:lvl w:ilvl="6" w:tentative="0">
      <w:start w:val="1"/>
      <w:numFmt w:val="lowerRoman"/>
      <w:lvlText w:val="(%7)"/>
      <w:lvlJc w:val="left"/>
      <w:pPr>
        <w:ind w:left="5102" w:firstLine="0"/>
      </w:pPr>
    </w:lvl>
    <w:lvl w:ilvl="7" w:tentative="0">
      <w:start w:val="1"/>
      <w:numFmt w:val="lowerLetter"/>
      <w:lvlText w:val="(%8)"/>
      <w:lvlJc w:val="left"/>
      <w:pPr>
        <w:ind w:left="5953" w:firstLine="0"/>
      </w:pPr>
    </w:lvl>
    <w:lvl w:ilvl="8" w:tentative="0">
      <w:start w:val="1"/>
      <w:numFmt w:val="lowerRoman"/>
      <w:lvlText w:val="(%9)"/>
      <w:lvlJc w:val="left"/>
      <w:pPr>
        <w:ind w:left="6803" w:firstLine="0"/>
      </w:pPr>
    </w:lvl>
  </w:abstractNum>
  <w:abstractNum w:abstractNumId="7">
    <w:nsid w:val="1A0D0064"/>
    <w:multiLevelType w:val="singleLevel"/>
    <w:tmpl w:val="1A0D0064"/>
    <w:lvl w:ilvl="0" w:tentative="0">
      <w:start w:val="2"/>
      <w:numFmt w:val="chineseCounting"/>
      <w:suff w:val="nothing"/>
      <w:lvlText w:val="%1、"/>
      <w:lvlJc w:val="left"/>
      <w:rPr>
        <w:rFonts w:hint="eastAsia"/>
      </w:rPr>
    </w:lvl>
  </w:abstractNum>
  <w:abstractNum w:abstractNumId="8">
    <w:nsid w:val="5A4CC1AB"/>
    <w:multiLevelType w:val="singleLevel"/>
    <w:tmpl w:val="5A4CC1AB"/>
    <w:lvl w:ilvl="0" w:tentative="0">
      <w:start w:val="1"/>
      <w:numFmt w:val="decimal"/>
      <w:lvlText w:val="%1."/>
      <w:lvlJc w:val="left"/>
      <w:pPr>
        <w:tabs>
          <w:tab w:val="left" w:pos="312"/>
        </w:tabs>
      </w:pPr>
    </w:lvl>
  </w:abstractNum>
  <w:abstractNum w:abstractNumId="9">
    <w:nsid w:val="5A92F7F1"/>
    <w:multiLevelType w:val="singleLevel"/>
    <w:tmpl w:val="5A92F7F1"/>
    <w:lvl w:ilvl="0" w:tentative="0">
      <w:start w:val="1"/>
      <w:numFmt w:val="chineseCounting"/>
      <w:suff w:val="nothing"/>
      <w:lvlText w:val="%1、"/>
      <w:lvlJc w:val="left"/>
      <w:rPr>
        <w:rFonts w:hint="eastAsia"/>
      </w:rPr>
    </w:lvl>
  </w:abstractNum>
  <w:abstractNum w:abstractNumId="10">
    <w:nsid w:val="74381B72"/>
    <w:multiLevelType w:val="singleLevel"/>
    <w:tmpl w:val="74381B72"/>
    <w:lvl w:ilvl="0" w:tentative="0">
      <w:start w:val="5"/>
      <w:numFmt w:val="chineseCounting"/>
      <w:suff w:val="nothing"/>
      <w:lvlText w:val="%1、"/>
      <w:lvlJc w:val="left"/>
      <w:rPr>
        <w:rFonts w:hint="eastAsia"/>
      </w:rPr>
    </w:lvl>
  </w:abstractNum>
  <w:num w:numId="1">
    <w:abstractNumId w:val="6"/>
  </w:num>
  <w:num w:numId="2">
    <w:abstractNumId w:val="3"/>
  </w:num>
  <w:num w:numId="3">
    <w:abstractNumId w:val="9"/>
  </w:num>
  <w:num w:numId="4">
    <w:abstractNumId w:val="10"/>
  </w:num>
  <w:num w:numId="5">
    <w:abstractNumId w:val="8"/>
  </w:num>
  <w:num w:numId="6">
    <w:abstractNumId w:val="1"/>
  </w:num>
  <w:num w:numId="7">
    <w:abstractNumId w:val="2"/>
  </w:num>
  <w:num w:numId="8">
    <w:abstractNumId w:val="0"/>
  </w:num>
  <w:num w:numId="9">
    <w:abstractNumId w:val="4"/>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51D41"/>
    <w:rsid w:val="000D22EB"/>
    <w:rsid w:val="00111413"/>
    <w:rsid w:val="00381401"/>
    <w:rsid w:val="00A33722"/>
    <w:rsid w:val="00BD14BD"/>
    <w:rsid w:val="00CD47A3"/>
    <w:rsid w:val="00EC1C3D"/>
    <w:rsid w:val="010C0B7A"/>
    <w:rsid w:val="010F5623"/>
    <w:rsid w:val="01344132"/>
    <w:rsid w:val="01377479"/>
    <w:rsid w:val="014063FE"/>
    <w:rsid w:val="01556741"/>
    <w:rsid w:val="01590644"/>
    <w:rsid w:val="01864D15"/>
    <w:rsid w:val="01877B29"/>
    <w:rsid w:val="01A14678"/>
    <w:rsid w:val="01A17C87"/>
    <w:rsid w:val="01AC5201"/>
    <w:rsid w:val="01AD1139"/>
    <w:rsid w:val="01CF1E58"/>
    <w:rsid w:val="01EA40C4"/>
    <w:rsid w:val="01EA569F"/>
    <w:rsid w:val="01FA276F"/>
    <w:rsid w:val="02074712"/>
    <w:rsid w:val="02086680"/>
    <w:rsid w:val="020C6B80"/>
    <w:rsid w:val="02111B48"/>
    <w:rsid w:val="02395B2E"/>
    <w:rsid w:val="025B54A0"/>
    <w:rsid w:val="02915167"/>
    <w:rsid w:val="029B0AE8"/>
    <w:rsid w:val="02B7174C"/>
    <w:rsid w:val="02BD0A8F"/>
    <w:rsid w:val="02D85F6B"/>
    <w:rsid w:val="02DF37ED"/>
    <w:rsid w:val="02F55C38"/>
    <w:rsid w:val="03015768"/>
    <w:rsid w:val="03126A28"/>
    <w:rsid w:val="0326615C"/>
    <w:rsid w:val="033821A9"/>
    <w:rsid w:val="035B0E00"/>
    <w:rsid w:val="035D549D"/>
    <w:rsid w:val="03663300"/>
    <w:rsid w:val="03CA6DB5"/>
    <w:rsid w:val="03DF623D"/>
    <w:rsid w:val="03FF2E75"/>
    <w:rsid w:val="04014F9D"/>
    <w:rsid w:val="04117E10"/>
    <w:rsid w:val="04131E86"/>
    <w:rsid w:val="041E4747"/>
    <w:rsid w:val="042760A9"/>
    <w:rsid w:val="04284FC8"/>
    <w:rsid w:val="042B5643"/>
    <w:rsid w:val="043D33E0"/>
    <w:rsid w:val="04481E67"/>
    <w:rsid w:val="04563629"/>
    <w:rsid w:val="045860F8"/>
    <w:rsid w:val="045F0B81"/>
    <w:rsid w:val="04642B55"/>
    <w:rsid w:val="047314BD"/>
    <w:rsid w:val="04765320"/>
    <w:rsid w:val="048607FC"/>
    <w:rsid w:val="048D5F88"/>
    <w:rsid w:val="04AC7FFF"/>
    <w:rsid w:val="04B0684B"/>
    <w:rsid w:val="04B21DC8"/>
    <w:rsid w:val="04D33055"/>
    <w:rsid w:val="04E54039"/>
    <w:rsid w:val="04F85BF3"/>
    <w:rsid w:val="04FD5938"/>
    <w:rsid w:val="051A57EC"/>
    <w:rsid w:val="05245E9E"/>
    <w:rsid w:val="053242BD"/>
    <w:rsid w:val="055505CF"/>
    <w:rsid w:val="056025D7"/>
    <w:rsid w:val="05654966"/>
    <w:rsid w:val="056A1880"/>
    <w:rsid w:val="056D6B50"/>
    <w:rsid w:val="05822C46"/>
    <w:rsid w:val="05892269"/>
    <w:rsid w:val="058A4925"/>
    <w:rsid w:val="0593177F"/>
    <w:rsid w:val="05977F24"/>
    <w:rsid w:val="05AD5656"/>
    <w:rsid w:val="05C56C76"/>
    <w:rsid w:val="05CA79EB"/>
    <w:rsid w:val="05D75E40"/>
    <w:rsid w:val="05EE21B3"/>
    <w:rsid w:val="05F31AF7"/>
    <w:rsid w:val="06071F71"/>
    <w:rsid w:val="060731C3"/>
    <w:rsid w:val="061842B5"/>
    <w:rsid w:val="062D0170"/>
    <w:rsid w:val="06423A81"/>
    <w:rsid w:val="067959B2"/>
    <w:rsid w:val="069A28E0"/>
    <w:rsid w:val="069C4440"/>
    <w:rsid w:val="06AB39B6"/>
    <w:rsid w:val="06AF69BD"/>
    <w:rsid w:val="06BB7B27"/>
    <w:rsid w:val="06BE56EB"/>
    <w:rsid w:val="06C24661"/>
    <w:rsid w:val="06C91C89"/>
    <w:rsid w:val="06D4069A"/>
    <w:rsid w:val="06D56971"/>
    <w:rsid w:val="06D918A4"/>
    <w:rsid w:val="06DA5DCC"/>
    <w:rsid w:val="06DC7727"/>
    <w:rsid w:val="06EA3F9B"/>
    <w:rsid w:val="0709352E"/>
    <w:rsid w:val="071F1314"/>
    <w:rsid w:val="07501B77"/>
    <w:rsid w:val="07674AA8"/>
    <w:rsid w:val="07AA533D"/>
    <w:rsid w:val="07B75675"/>
    <w:rsid w:val="07C2614D"/>
    <w:rsid w:val="07C97F0F"/>
    <w:rsid w:val="07E055DD"/>
    <w:rsid w:val="07E945DC"/>
    <w:rsid w:val="07F26D26"/>
    <w:rsid w:val="07F56E0E"/>
    <w:rsid w:val="080373A5"/>
    <w:rsid w:val="08066C89"/>
    <w:rsid w:val="08070A7E"/>
    <w:rsid w:val="08195723"/>
    <w:rsid w:val="081B0B2B"/>
    <w:rsid w:val="08247D54"/>
    <w:rsid w:val="082F6A29"/>
    <w:rsid w:val="084001D9"/>
    <w:rsid w:val="08754213"/>
    <w:rsid w:val="08755084"/>
    <w:rsid w:val="088501A3"/>
    <w:rsid w:val="08A41281"/>
    <w:rsid w:val="08B236E6"/>
    <w:rsid w:val="08B3639C"/>
    <w:rsid w:val="08B9394A"/>
    <w:rsid w:val="08BE2B78"/>
    <w:rsid w:val="08BE75B5"/>
    <w:rsid w:val="08C228F3"/>
    <w:rsid w:val="08CE4E75"/>
    <w:rsid w:val="08DF10E9"/>
    <w:rsid w:val="08F02CB9"/>
    <w:rsid w:val="090622FA"/>
    <w:rsid w:val="09190217"/>
    <w:rsid w:val="091C543F"/>
    <w:rsid w:val="0928708B"/>
    <w:rsid w:val="092E6F1B"/>
    <w:rsid w:val="0934129B"/>
    <w:rsid w:val="0943505B"/>
    <w:rsid w:val="09461297"/>
    <w:rsid w:val="097511AE"/>
    <w:rsid w:val="097E7F9F"/>
    <w:rsid w:val="09860D91"/>
    <w:rsid w:val="098D35E3"/>
    <w:rsid w:val="099975E7"/>
    <w:rsid w:val="09AF5860"/>
    <w:rsid w:val="09C2181F"/>
    <w:rsid w:val="09C74F1B"/>
    <w:rsid w:val="09CD1146"/>
    <w:rsid w:val="09D95B65"/>
    <w:rsid w:val="09E850B4"/>
    <w:rsid w:val="09F76999"/>
    <w:rsid w:val="0A011EA8"/>
    <w:rsid w:val="0A0B3B32"/>
    <w:rsid w:val="0A143F91"/>
    <w:rsid w:val="0A1804F9"/>
    <w:rsid w:val="0A1A49B6"/>
    <w:rsid w:val="0A270F70"/>
    <w:rsid w:val="0A334B21"/>
    <w:rsid w:val="0A3409D7"/>
    <w:rsid w:val="0A4F4768"/>
    <w:rsid w:val="0A511709"/>
    <w:rsid w:val="0A5A3BDE"/>
    <w:rsid w:val="0A650C83"/>
    <w:rsid w:val="0A706FAC"/>
    <w:rsid w:val="0A7669BE"/>
    <w:rsid w:val="0AA17C6E"/>
    <w:rsid w:val="0AAD3B12"/>
    <w:rsid w:val="0AB9311A"/>
    <w:rsid w:val="0ABA1AE1"/>
    <w:rsid w:val="0ADA6BA1"/>
    <w:rsid w:val="0ADD24D8"/>
    <w:rsid w:val="0AE54FE1"/>
    <w:rsid w:val="0AEF212E"/>
    <w:rsid w:val="0AF13310"/>
    <w:rsid w:val="0B01054C"/>
    <w:rsid w:val="0B0F3204"/>
    <w:rsid w:val="0B167D62"/>
    <w:rsid w:val="0B5B6C28"/>
    <w:rsid w:val="0B6532C9"/>
    <w:rsid w:val="0B6D554D"/>
    <w:rsid w:val="0B734028"/>
    <w:rsid w:val="0B9B7973"/>
    <w:rsid w:val="0BA83AC5"/>
    <w:rsid w:val="0BAD5959"/>
    <w:rsid w:val="0BB63084"/>
    <w:rsid w:val="0BC768FE"/>
    <w:rsid w:val="0BD76CB4"/>
    <w:rsid w:val="0BDE4073"/>
    <w:rsid w:val="0BE24BBD"/>
    <w:rsid w:val="0BE44C85"/>
    <w:rsid w:val="0BF77428"/>
    <w:rsid w:val="0BFF2290"/>
    <w:rsid w:val="0C005ABF"/>
    <w:rsid w:val="0C116422"/>
    <w:rsid w:val="0C23374D"/>
    <w:rsid w:val="0C28167E"/>
    <w:rsid w:val="0C2F3A27"/>
    <w:rsid w:val="0C3B46AE"/>
    <w:rsid w:val="0C4D34FD"/>
    <w:rsid w:val="0C5775D0"/>
    <w:rsid w:val="0C5942E2"/>
    <w:rsid w:val="0C5D5B67"/>
    <w:rsid w:val="0C5F04CF"/>
    <w:rsid w:val="0C5F08C1"/>
    <w:rsid w:val="0C813B38"/>
    <w:rsid w:val="0C8B5C14"/>
    <w:rsid w:val="0CA4295D"/>
    <w:rsid w:val="0CA879EF"/>
    <w:rsid w:val="0CB6077B"/>
    <w:rsid w:val="0CC25504"/>
    <w:rsid w:val="0CC8227F"/>
    <w:rsid w:val="0CD9669C"/>
    <w:rsid w:val="0CDD6579"/>
    <w:rsid w:val="0CE52C42"/>
    <w:rsid w:val="0CF31772"/>
    <w:rsid w:val="0CF67E02"/>
    <w:rsid w:val="0D121963"/>
    <w:rsid w:val="0D2B208E"/>
    <w:rsid w:val="0D3216B4"/>
    <w:rsid w:val="0D4A4500"/>
    <w:rsid w:val="0D4F29D7"/>
    <w:rsid w:val="0D525A4A"/>
    <w:rsid w:val="0D532D4F"/>
    <w:rsid w:val="0D651EBA"/>
    <w:rsid w:val="0D737212"/>
    <w:rsid w:val="0DC10FA4"/>
    <w:rsid w:val="0DD30E61"/>
    <w:rsid w:val="0DDA65AA"/>
    <w:rsid w:val="0E006F61"/>
    <w:rsid w:val="0E034783"/>
    <w:rsid w:val="0E1D679F"/>
    <w:rsid w:val="0E200BF9"/>
    <w:rsid w:val="0E286F56"/>
    <w:rsid w:val="0E2A12F6"/>
    <w:rsid w:val="0E550F23"/>
    <w:rsid w:val="0E684326"/>
    <w:rsid w:val="0E735300"/>
    <w:rsid w:val="0E771D57"/>
    <w:rsid w:val="0E7A7C6E"/>
    <w:rsid w:val="0E7B5CE2"/>
    <w:rsid w:val="0E860396"/>
    <w:rsid w:val="0EA05B3E"/>
    <w:rsid w:val="0EBD7579"/>
    <w:rsid w:val="0ED968A9"/>
    <w:rsid w:val="0EE21290"/>
    <w:rsid w:val="0F2C4CF2"/>
    <w:rsid w:val="0F367AEA"/>
    <w:rsid w:val="0F6122B2"/>
    <w:rsid w:val="0FBB2F87"/>
    <w:rsid w:val="0FC66A07"/>
    <w:rsid w:val="0FD72E46"/>
    <w:rsid w:val="0FDA64E7"/>
    <w:rsid w:val="0FDE0EEF"/>
    <w:rsid w:val="0FDF730E"/>
    <w:rsid w:val="0FEA323C"/>
    <w:rsid w:val="0FF51DA6"/>
    <w:rsid w:val="0FF577F8"/>
    <w:rsid w:val="0FF930AB"/>
    <w:rsid w:val="10183E57"/>
    <w:rsid w:val="10234DAD"/>
    <w:rsid w:val="10382C2A"/>
    <w:rsid w:val="104931C2"/>
    <w:rsid w:val="105F666A"/>
    <w:rsid w:val="10642404"/>
    <w:rsid w:val="106B7764"/>
    <w:rsid w:val="1074480D"/>
    <w:rsid w:val="10745916"/>
    <w:rsid w:val="107F6438"/>
    <w:rsid w:val="108B2833"/>
    <w:rsid w:val="10B37509"/>
    <w:rsid w:val="10BB6C32"/>
    <w:rsid w:val="10CB711E"/>
    <w:rsid w:val="10D57E76"/>
    <w:rsid w:val="10E521AA"/>
    <w:rsid w:val="10EC6F34"/>
    <w:rsid w:val="10ED5CE6"/>
    <w:rsid w:val="10F9708E"/>
    <w:rsid w:val="10FE7FC0"/>
    <w:rsid w:val="11067EF0"/>
    <w:rsid w:val="1139154F"/>
    <w:rsid w:val="11762B15"/>
    <w:rsid w:val="117E07C8"/>
    <w:rsid w:val="11953CB4"/>
    <w:rsid w:val="11AB1B3D"/>
    <w:rsid w:val="11B1512D"/>
    <w:rsid w:val="11B465CA"/>
    <w:rsid w:val="11B6524F"/>
    <w:rsid w:val="11CB0094"/>
    <w:rsid w:val="11CD39AF"/>
    <w:rsid w:val="11D87DBA"/>
    <w:rsid w:val="11E66EEC"/>
    <w:rsid w:val="11EA7F4D"/>
    <w:rsid w:val="1203449B"/>
    <w:rsid w:val="12187EB0"/>
    <w:rsid w:val="122F5274"/>
    <w:rsid w:val="1232344A"/>
    <w:rsid w:val="123A6B73"/>
    <w:rsid w:val="1255027F"/>
    <w:rsid w:val="12601B79"/>
    <w:rsid w:val="12603E2B"/>
    <w:rsid w:val="127F6016"/>
    <w:rsid w:val="128B0BEE"/>
    <w:rsid w:val="1297133E"/>
    <w:rsid w:val="12A407A1"/>
    <w:rsid w:val="12A6402F"/>
    <w:rsid w:val="12B93510"/>
    <w:rsid w:val="12C41F07"/>
    <w:rsid w:val="12CA4F9A"/>
    <w:rsid w:val="12E95E24"/>
    <w:rsid w:val="12FA227C"/>
    <w:rsid w:val="12FB42A6"/>
    <w:rsid w:val="130B2608"/>
    <w:rsid w:val="130F56C3"/>
    <w:rsid w:val="13150948"/>
    <w:rsid w:val="131A3789"/>
    <w:rsid w:val="13363593"/>
    <w:rsid w:val="1344503D"/>
    <w:rsid w:val="135B0020"/>
    <w:rsid w:val="13607557"/>
    <w:rsid w:val="137C4EC7"/>
    <w:rsid w:val="13895294"/>
    <w:rsid w:val="13A14E55"/>
    <w:rsid w:val="13A54DD4"/>
    <w:rsid w:val="13A85615"/>
    <w:rsid w:val="13AA45D4"/>
    <w:rsid w:val="13B1395C"/>
    <w:rsid w:val="13C2578C"/>
    <w:rsid w:val="13CA2F8D"/>
    <w:rsid w:val="13CC3445"/>
    <w:rsid w:val="13E55764"/>
    <w:rsid w:val="14072B20"/>
    <w:rsid w:val="140F0776"/>
    <w:rsid w:val="141E0856"/>
    <w:rsid w:val="141E7397"/>
    <w:rsid w:val="14241BE6"/>
    <w:rsid w:val="14310A1E"/>
    <w:rsid w:val="143753F1"/>
    <w:rsid w:val="14397BAE"/>
    <w:rsid w:val="143E33E2"/>
    <w:rsid w:val="145B7CC7"/>
    <w:rsid w:val="145C1C95"/>
    <w:rsid w:val="145F1C75"/>
    <w:rsid w:val="1479266B"/>
    <w:rsid w:val="1487172E"/>
    <w:rsid w:val="1499611E"/>
    <w:rsid w:val="149E7662"/>
    <w:rsid w:val="14A61BB5"/>
    <w:rsid w:val="14BB0F72"/>
    <w:rsid w:val="14C54B2E"/>
    <w:rsid w:val="15042DDD"/>
    <w:rsid w:val="15212B30"/>
    <w:rsid w:val="154D5391"/>
    <w:rsid w:val="1551195A"/>
    <w:rsid w:val="155E240E"/>
    <w:rsid w:val="15680E75"/>
    <w:rsid w:val="15700F42"/>
    <w:rsid w:val="158A3541"/>
    <w:rsid w:val="15B33691"/>
    <w:rsid w:val="15B851BE"/>
    <w:rsid w:val="15DA30FD"/>
    <w:rsid w:val="15E37FE3"/>
    <w:rsid w:val="160C3FA2"/>
    <w:rsid w:val="16713EBD"/>
    <w:rsid w:val="167E20F6"/>
    <w:rsid w:val="1683160D"/>
    <w:rsid w:val="16931D8B"/>
    <w:rsid w:val="16A01716"/>
    <w:rsid w:val="16CF41E8"/>
    <w:rsid w:val="16D07F66"/>
    <w:rsid w:val="16DF23B0"/>
    <w:rsid w:val="16FB78FC"/>
    <w:rsid w:val="17006E4C"/>
    <w:rsid w:val="17110BE9"/>
    <w:rsid w:val="172432A2"/>
    <w:rsid w:val="17296378"/>
    <w:rsid w:val="172F7E64"/>
    <w:rsid w:val="175A36E2"/>
    <w:rsid w:val="175B76A6"/>
    <w:rsid w:val="17670D5C"/>
    <w:rsid w:val="176B7F30"/>
    <w:rsid w:val="176E0AF2"/>
    <w:rsid w:val="17921544"/>
    <w:rsid w:val="17A12E6C"/>
    <w:rsid w:val="17AE2B69"/>
    <w:rsid w:val="17E25D79"/>
    <w:rsid w:val="17F330F1"/>
    <w:rsid w:val="17FD1FC8"/>
    <w:rsid w:val="180F12F5"/>
    <w:rsid w:val="18101AC9"/>
    <w:rsid w:val="18122162"/>
    <w:rsid w:val="181A4F58"/>
    <w:rsid w:val="18774F00"/>
    <w:rsid w:val="1880771E"/>
    <w:rsid w:val="18825338"/>
    <w:rsid w:val="18890475"/>
    <w:rsid w:val="18CB74AF"/>
    <w:rsid w:val="18E86A42"/>
    <w:rsid w:val="18F5732F"/>
    <w:rsid w:val="190E7BBD"/>
    <w:rsid w:val="193F4378"/>
    <w:rsid w:val="19585BC7"/>
    <w:rsid w:val="197019C3"/>
    <w:rsid w:val="197021BC"/>
    <w:rsid w:val="19827DE5"/>
    <w:rsid w:val="198B24F7"/>
    <w:rsid w:val="19AF484E"/>
    <w:rsid w:val="19B018C8"/>
    <w:rsid w:val="19B03BCC"/>
    <w:rsid w:val="19BF7015"/>
    <w:rsid w:val="19CA30CB"/>
    <w:rsid w:val="19D3528D"/>
    <w:rsid w:val="19D624F2"/>
    <w:rsid w:val="19E31A05"/>
    <w:rsid w:val="1A243663"/>
    <w:rsid w:val="1A353F66"/>
    <w:rsid w:val="1A37480C"/>
    <w:rsid w:val="1A416FA3"/>
    <w:rsid w:val="1A73325D"/>
    <w:rsid w:val="1A787D25"/>
    <w:rsid w:val="1A8C6E4F"/>
    <w:rsid w:val="1A932094"/>
    <w:rsid w:val="1AA52066"/>
    <w:rsid w:val="1AAF0758"/>
    <w:rsid w:val="1AB465C4"/>
    <w:rsid w:val="1ABA0EA7"/>
    <w:rsid w:val="1AC23C77"/>
    <w:rsid w:val="1AF03FF1"/>
    <w:rsid w:val="1AF709B3"/>
    <w:rsid w:val="1AFA759E"/>
    <w:rsid w:val="1B0B4969"/>
    <w:rsid w:val="1B1808B7"/>
    <w:rsid w:val="1B262B0B"/>
    <w:rsid w:val="1B295DE6"/>
    <w:rsid w:val="1B446E3B"/>
    <w:rsid w:val="1B4F21C4"/>
    <w:rsid w:val="1B5A6831"/>
    <w:rsid w:val="1B684735"/>
    <w:rsid w:val="1B6D1746"/>
    <w:rsid w:val="1B711E9C"/>
    <w:rsid w:val="1B8B752B"/>
    <w:rsid w:val="1B973FC9"/>
    <w:rsid w:val="1B992985"/>
    <w:rsid w:val="1B9A0FA2"/>
    <w:rsid w:val="1B9B4ED0"/>
    <w:rsid w:val="1BAB79AC"/>
    <w:rsid w:val="1BB76CFD"/>
    <w:rsid w:val="1BBF31F1"/>
    <w:rsid w:val="1BE203A9"/>
    <w:rsid w:val="1BF7345C"/>
    <w:rsid w:val="1C083A8C"/>
    <w:rsid w:val="1C2A7637"/>
    <w:rsid w:val="1C3D6C2C"/>
    <w:rsid w:val="1C406EB0"/>
    <w:rsid w:val="1C421A7B"/>
    <w:rsid w:val="1C4D0818"/>
    <w:rsid w:val="1C557970"/>
    <w:rsid w:val="1C67285D"/>
    <w:rsid w:val="1C6D1DA6"/>
    <w:rsid w:val="1C815E5B"/>
    <w:rsid w:val="1C8F0E88"/>
    <w:rsid w:val="1C914D81"/>
    <w:rsid w:val="1CA21EF5"/>
    <w:rsid w:val="1CA36458"/>
    <w:rsid w:val="1CAE19A6"/>
    <w:rsid w:val="1CAF1D57"/>
    <w:rsid w:val="1CCA5F7D"/>
    <w:rsid w:val="1CD2101F"/>
    <w:rsid w:val="1D0A686E"/>
    <w:rsid w:val="1D232C46"/>
    <w:rsid w:val="1D3A74A0"/>
    <w:rsid w:val="1D3F252C"/>
    <w:rsid w:val="1D4222E5"/>
    <w:rsid w:val="1D4604A0"/>
    <w:rsid w:val="1D6532E7"/>
    <w:rsid w:val="1D8F3334"/>
    <w:rsid w:val="1DAF5B61"/>
    <w:rsid w:val="1DB05EFF"/>
    <w:rsid w:val="1DC56707"/>
    <w:rsid w:val="1DEE0846"/>
    <w:rsid w:val="1DF642BE"/>
    <w:rsid w:val="1DF9601C"/>
    <w:rsid w:val="1E012831"/>
    <w:rsid w:val="1E0B47D9"/>
    <w:rsid w:val="1E1424C5"/>
    <w:rsid w:val="1E21497B"/>
    <w:rsid w:val="1E2954DB"/>
    <w:rsid w:val="1E35697D"/>
    <w:rsid w:val="1E3D7E9D"/>
    <w:rsid w:val="1E482748"/>
    <w:rsid w:val="1E502658"/>
    <w:rsid w:val="1E602077"/>
    <w:rsid w:val="1E69026E"/>
    <w:rsid w:val="1E840F92"/>
    <w:rsid w:val="1E874ACF"/>
    <w:rsid w:val="1E9236A0"/>
    <w:rsid w:val="1E936E18"/>
    <w:rsid w:val="1E951237"/>
    <w:rsid w:val="1EA610DF"/>
    <w:rsid w:val="1EAF0D67"/>
    <w:rsid w:val="1EB5581B"/>
    <w:rsid w:val="1EC70033"/>
    <w:rsid w:val="1ECC4488"/>
    <w:rsid w:val="1EDD311D"/>
    <w:rsid w:val="1EE80831"/>
    <w:rsid w:val="1F076F74"/>
    <w:rsid w:val="1F0B151B"/>
    <w:rsid w:val="1F394183"/>
    <w:rsid w:val="1F3D136E"/>
    <w:rsid w:val="1F571580"/>
    <w:rsid w:val="1F5E5926"/>
    <w:rsid w:val="1F5F2A29"/>
    <w:rsid w:val="1F6D4D5D"/>
    <w:rsid w:val="1F7413C9"/>
    <w:rsid w:val="1F813A12"/>
    <w:rsid w:val="1F95172E"/>
    <w:rsid w:val="1FA74E09"/>
    <w:rsid w:val="1FAA6EB5"/>
    <w:rsid w:val="1FC01CEA"/>
    <w:rsid w:val="1FE20C0D"/>
    <w:rsid w:val="1FE239B6"/>
    <w:rsid w:val="1FE866C5"/>
    <w:rsid w:val="1FF6343C"/>
    <w:rsid w:val="20042F2A"/>
    <w:rsid w:val="201209AE"/>
    <w:rsid w:val="201479B7"/>
    <w:rsid w:val="201A7697"/>
    <w:rsid w:val="201B1FC8"/>
    <w:rsid w:val="20206B66"/>
    <w:rsid w:val="20232D8D"/>
    <w:rsid w:val="202F15A6"/>
    <w:rsid w:val="203173B6"/>
    <w:rsid w:val="20480BC5"/>
    <w:rsid w:val="2055055A"/>
    <w:rsid w:val="2056239C"/>
    <w:rsid w:val="205A629A"/>
    <w:rsid w:val="206A4D3A"/>
    <w:rsid w:val="206D524D"/>
    <w:rsid w:val="20872D18"/>
    <w:rsid w:val="2089597B"/>
    <w:rsid w:val="20936C83"/>
    <w:rsid w:val="209F58F2"/>
    <w:rsid w:val="20A45937"/>
    <w:rsid w:val="20A82E57"/>
    <w:rsid w:val="20BE0A98"/>
    <w:rsid w:val="20C36513"/>
    <w:rsid w:val="20DC6BBC"/>
    <w:rsid w:val="20E05C14"/>
    <w:rsid w:val="20E20708"/>
    <w:rsid w:val="20EC6C5D"/>
    <w:rsid w:val="210D5675"/>
    <w:rsid w:val="21101E90"/>
    <w:rsid w:val="21274C73"/>
    <w:rsid w:val="213C3293"/>
    <w:rsid w:val="21517EAC"/>
    <w:rsid w:val="21591D9A"/>
    <w:rsid w:val="215D023C"/>
    <w:rsid w:val="21733A6D"/>
    <w:rsid w:val="21762743"/>
    <w:rsid w:val="2186471E"/>
    <w:rsid w:val="219A6B33"/>
    <w:rsid w:val="219C5485"/>
    <w:rsid w:val="21A1592F"/>
    <w:rsid w:val="21A734DC"/>
    <w:rsid w:val="21EE3D1E"/>
    <w:rsid w:val="21F775F0"/>
    <w:rsid w:val="22124CA8"/>
    <w:rsid w:val="222412D5"/>
    <w:rsid w:val="22454791"/>
    <w:rsid w:val="22501D1B"/>
    <w:rsid w:val="225279C4"/>
    <w:rsid w:val="229A254B"/>
    <w:rsid w:val="229A3EA4"/>
    <w:rsid w:val="229E7CD7"/>
    <w:rsid w:val="22A93052"/>
    <w:rsid w:val="22AF59F3"/>
    <w:rsid w:val="22B313E9"/>
    <w:rsid w:val="22B77C0D"/>
    <w:rsid w:val="22BA46FE"/>
    <w:rsid w:val="22BF049A"/>
    <w:rsid w:val="22CB5B5B"/>
    <w:rsid w:val="22D711EF"/>
    <w:rsid w:val="22F2476B"/>
    <w:rsid w:val="22F75183"/>
    <w:rsid w:val="231A498C"/>
    <w:rsid w:val="235A6E55"/>
    <w:rsid w:val="235F04E7"/>
    <w:rsid w:val="23766ABD"/>
    <w:rsid w:val="238734D8"/>
    <w:rsid w:val="239A3751"/>
    <w:rsid w:val="239E1B99"/>
    <w:rsid w:val="23A5342E"/>
    <w:rsid w:val="23B6180B"/>
    <w:rsid w:val="23B75398"/>
    <w:rsid w:val="23C142D5"/>
    <w:rsid w:val="23C406D8"/>
    <w:rsid w:val="23C875D6"/>
    <w:rsid w:val="23D95457"/>
    <w:rsid w:val="23EA66A2"/>
    <w:rsid w:val="23EC19C5"/>
    <w:rsid w:val="23F727B0"/>
    <w:rsid w:val="23F7442F"/>
    <w:rsid w:val="23F773C9"/>
    <w:rsid w:val="23FA27DF"/>
    <w:rsid w:val="24011027"/>
    <w:rsid w:val="24052466"/>
    <w:rsid w:val="24084094"/>
    <w:rsid w:val="24116732"/>
    <w:rsid w:val="2440779F"/>
    <w:rsid w:val="24482B54"/>
    <w:rsid w:val="245042F0"/>
    <w:rsid w:val="24584914"/>
    <w:rsid w:val="246721D0"/>
    <w:rsid w:val="2481089C"/>
    <w:rsid w:val="24842D5E"/>
    <w:rsid w:val="24952CA3"/>
    <w:rsid w:val="24A00CB5"/>
    <w:rsid w:val="24A80B44"/>
    <w:rsid w:val="24AC1FB6"/>
    <w:rsid w:val="24AC7783"/>
    <w:rsid w:val="24C347B1"/>
    <w:rsid w:val="24CC5AB8"/>
    <w:rsid w:val="24DA49C0"/>
    <w:rsid w:val="24E60D27"/>
    <w:rsid w:val="24E86656"/>
    <w:rsid w:val="24EA4F26"/>
    <w:rsid w:val="24F9780D"/>
    <w:rsid w:val="24FE31BB"/>
    <w:rsid w:val="25134305"/>
    <w:rsid w:val="251E034E"/>
    <w:rsid w:val="25285B54"/>
    <w:rsid w:val="25336C58"/>
    <w:rsid w:val="253A4D99"/>
    <w:rsid w:val="25414237"/>
    <w:rsid w:val="25447AFD"/>
    <w:rsid w:val="25722A56"/>
    <w:rsid w:val="25733010"/>
    <w:rsid w:val="257C4320"/>
    <w:rsid w:val="257C46CC"/>
    <w:rsid w:val="25F240D6"/>
    <w:rsid w:val="25F4374E"/>
    <w:rsid w:val="25FB6574"/>
    <w:rsid w:val="26015555"/>
    <w:rsid w:val="260646B8"/>
    <w:rsid w:val="26075F51"/>
    <w:rsid w:val="261A53B2"/>
    <w:rsid w:val="2629281E"/>
    <w:rsid w:val="262D4E5A"/>
    <w:rsid w:val="262F134E"/>
    <w:rsid w:val="266644A2"/>
    <w:rsid w:val="266B1537"/>
    <w:rsid w:val="266C5616"/>
    <w:rsid w:val="26A44160"/>
    <w:rsid w:val="26AB5ABB"/>
    <w:rsid w:val="26AF333F"/>
    <w:rsid w:val="26B01479"/>
    <w:rsid w:val="26CC061A"/>
    <w:rsid w:val="26CF423A"/>
    <w:rsid w:val="26D46FA4"/>
    <w:rsid w:val="26DC1351"/>
    <w:rsid w:val="26DC5AF9"/>
    <w:rsid w:val="26E2102F"/>
    <w:rsid w:val="26EB3B6A"/>
    <w:rsid w:val="26F17AC8"/>
    <w:rsid w:val="26F6670D"/>
    <w:rsid w:val="270D0383"/>
    <w:rsid w:val="27191786"/>
    <w:rsid w:val="272606A8"/>
    <w:rsid w:val="272D712B"/>
    <w:rsid w:val="27321197"/>
    <w:rsid w:val="273D1D7F"/>
    <w:rsid w:val="273D36EA"/>
    <w:rsid w:val="274D1BBD"/>
    <w:rsid w:val="27530FBB"/>
    <w:rsid w:val="27667A7F"/>
    <w:rsid w:val="27707022"/>
    <w:rsid w:val="2771549B"/>
    <w:rsid w:val="27795955"/>
    <w:rsid w:val="278F745A"/>
    <w:rsid w:val="279142F8"/>
    <w:rsid w:val="279D078C"/>
    <w:rsid w:val="27AA01E0"/>
    <w:rsid w:val="27B6130C"/>
    <w:rsid w:val="27C357D0"/>
    <w:rsid w:val="27C8767E"/>
    <w:rsid w:val="27CF6A8E"/>
    <w:rsid w:val="27DD3636"/>
    <w:rsid w:val="27F21B86"/>
    <w:rsid w:val="27F4579D"/>
    <w:rsid w:val="28082CC5"/>
    <w:rsid w:val="280C1373"/>
    <w:rsid w:val="280D6819"/>
    <w:rsid w:val="281935A5"/>
    <w:rsid w:val="28195521"/>
    <w:rsid w:val="281E33CB"/>
    <w:rsid w:val="28201AEF"/>
    <w:rsid w:val="28232F67"/>
    <w:rsid w:val="28265C5D"/>
    <w:rsid w:val="28335D47"/>
    <w:rsid w:val="2842747C"/>
    <w:rsid w:val="2861356A"/>
    <w:rsid w:val="286324C7"/>
    <w:rsid w:val="288868BB"/>
    <w:rsid w:val="2896652D"/>
    <w:rsid w:val="28A206D6"/>
    <w:rsid w:val="28A21BB6"/>
    <w:rsid w:val="28A2367D"/>
    <w:rsid w:val="28A74575"/>
    <w:rsid w:val="28AD15E7"/>
    <w:rsid w:val="28B52CA6"/>
    <w:rsid w:val="28C07739"/>
    <w:rsid w:val="28C64AF2"/>
    <w:rsid w:val="28E2688B"/>
    <w:rsid w:val="28ED556D"/>
    <w:rsid w:val="28EF1638"/>
    <w:rsid w:val="28F8168B"/>
    <w:rsid w:val="29012428"/>
    <w:rsid w:val="2927032D"/>
    <w:rsid w:val="294D4EC5"/>
    <w:rsid w:val="29564BD2"/>
    <w:rsid w:val="295B3464"/>
    <w:rsid w:val="2974477B"/>
    <w:rsid w:val="29850207"/>
    <w:rsid w:val="298A2075"/>
    <w:rsid w:val="29A94B35"/>
    <w:rsid w:val="29A9540B"/>
    <w:rsid w:val="29AD3878"/>
    <w:rsid w:val="29AF71DD"/>
    <w:rsid w:val="29B43A1D"/>
    <w:rsid w:val="29B621E5"/>
    <w:rsid w:val="29BC5CB8"/>
    <w:rsid w:val="29C2354E"/>
    <w:rsid w:val="29D10DDE"/>
    <w:rsid w:val="29F20520"/>
    <w:rsid w:val="29F20A21"/>
    <w:rsid w:val="29F85800"/>
    <w:rsid w:val="29FD21F3"/>
    <w:rsid w:val="2A0168E9"/>
    <w:rsid w:val="2A083C8C"/>
    <w:rsid w:val="2A1A43D2"/>
    <w:rsid w:val="2A272306"/>
    <w:rsid w:val="2A41143A"/>
    <w:rsid w:val="2A502340"/>
    <w:rsid w:val="2A82173B"/>
    <w:rsid w:val="2A9910B6"/>
    <w:rsid w:val="2AAC0A98"/>
    <w:rsid w:val="2AAD43A0"/>
    <w:rsid w:val="2AB62F9C"/>
    <w:rsid w:val="2AC1401E"/>
    <w:rsid w:val="2AC461E8"/>
    <w:rsid w:val="2AC46DFC"/>
    <w:rsid w:val="2ACD0453"/>
    <w:rsid w:val="2AD930A1"/>
    <w:rsid w:val="2AE3754F"/>
    <w:rsid w:val="2AF45E3E"/>
    <w:rsid w:val="2AF55BFF"/>
    <w:rsid w:val="2B2823EB"/>
    <w:rsid w:val="2B2955E7"/>
    <w:rsid w:val="2B604446"/>
    <w:rsid w:val="2B7B1D0E"/>
    <w:rsid w:val="2B8A4BAD"/>
    <w:rsid w:val="2B8E2D8D"/>
    <w:rsid w:val="2BA217B9"/>
    <w:rsid w:val="2BC06FA7"/>
    <w:rsid w:val="2BD24FFE"/>
    <w:rsid w:val="2BE32392"/>
    <w:rsid w:val="2BF07254"/>
    <w:rsid w:val="2BF57C61"/>
    <w:rsid w:val="2C001A35"/>
    <w:rsid w:val="2C0B6A24"/>
    <w:rsid w:val="2C0C7559"/>
    <w:rsid w:val="2C143EEB"/>
    <w:rsid w:val="2C1F48BF"/>
    <w:rsid w:val="2C220876"/>
    <w:rsid w:val="2C443206"/>
    <w:rsid w:val="2C56516D"/>
    <w:rsid w:val="2C570875"/>
    <w:rsid w:val="2C5E37A8"/>
    <w:rsid w:val="2C6A151D"/>
    <w:rsid w:val="2C750C75"/>
    <w:rsid w:val="2C8E7402"/>
    <w:rsid w:val="2C917089"/>
    <w:rsid w:val="2CA07CC5"/>
    <w:rsid w:val="2CA70828"/>
    <w:rsid w:val="2CAF52A9"/>
    <w:rsid w:val="2CBB6C81"/>
    <w:rsid w:val="2CBE1330"/>
    <w:rsid w:val="2CC30D9B"/>
    <w:rsid w:val="2CC85B89"/>
    <w:rsid w:val="2CEC719C"/>
    <w:rsid w:val="2CF6286D"/>
    <w:rsid w:val="2D1453AD"/>
    <w:rsid w:val="2D3C0FD2"/>
    <w:rsid w:val="2D436AFD"/>
    <w:rsid w:val="2D496E32"/>
    <w:rsid w:val="2D4C2D83"/>
    <w:rsid w:val="2D857A52"/>
    <w:rsid w:val="2DC17464"/>
    <w:rsid w:val="2DCB3D14"/>
    <w:rsid w:val="2DDD65CB"/>
    <w:rsid w:val="2DE47710"/>
    <w:rsid w:val="2DEF596C"/>
    <w:rsid w:val="2DF5264E"/>
    <w:rsid w:val="2E0959F7"/>
    <w:rsid w:val="2E32735A"/>
    <w:rsid w:val="2E331558"/>
    <w:rsid w:val="2E472447"/>
    <w:rsid w:val="2E500BBF"/>
    <w:rsid w:val="2E5C7C44"/>
    <w:rsid w:val="2E702802"/>
    <w:rsid w:val="2E7336A8"/>
    <w:rsid w:val="2E7665B7"/>
    <w:rsid w:val="2E7B48B1"/>
    <w:rsid w:val="2E8247AB"/>
    <w:rsid w:val="2E932399"/>
    <w:rsid w:val="2E95226E"/>
    <w:rsid w:val="2EA32538"/>
    <w:rsid w:val="2ED57155"/>
    <w:rsid w:val="2ED958A1"/>
    <w:rsid w:val="2EE60973"/>
    <w:rsid w:val="2EEC57F2"/>
    <w:rsid w:val="2EF53381"/>
    <w:rsid w:val="2EF53AD4"/>
    <w:rsid w:val="2EF96F7C"/>
    <w:rsid w:val="2EFF028A"/>
    <w:rsid w:val="2F0329EC"/>
    <w:rsid w:val="2F186F63"/>
    <w:rsid w:val="2F241582"/>
    <w:rsid w:val="2F39367B"/>
    <w:rsid w:val="2F5A5FE1"/>
    <w:rsid w:val="2F5E0223"/>
    <w:rsid w:val="2F6558F6"/>
    <w:rsid w:val="2F7666EC"/>
    <w:rsid w:val="2FF62B5C"/>
    <w:rsid w:val="30034376"/>
    <w:rsid w:val="30067214"/>
    <w:rsid w:val="300D4EBC"/>
    <w:rsid w:val="30117B6F"/>
    <w:rsid w:val="3013268D"/>
    <w:rsid w:val="30204712"/>
    <w:rsid w:val="30265346"/>
    <w:rsid w:val="302771A1"/>
    <w:rsid w:val="302823A1"/>
    <w:rsid w:val="30330321"/>
    <w:rsid w:val="30347DA4"/>
    <w:rsid w:val="30371181"/>
    <w:rsid w:val="30393248"/>
    <w:rsid w:val="304644FA"/>
    <w:rsid w:val="305C6C25"/>
    <w:rsid w:val="305F01FE"/>
    <w:rsid w:val="30657AFF"/>
    <w:rsid w:val="307F7175"/>
    <w:rsid w:val="30867681"/>
    <w:rsid w:val="308D4B6C"/>
    <w:rsid w:val="308E0B86"/>
    <w:rsid w:val="30935BFD"/>
    <w:rsid w:val="30B43B75"/>
    <w:rsid w:val="30C23BD1"/>
    <w:rsid w:val="30D4716C"/>
    <w:rsid w:val="30DF0D24"/>
    <w:rsid w:val="30FD1A1E"/>
    <w:rsid w:val="30FE3A0E"/>
    <w:rsid w:val="31021C45"/>
    <w:rsid w:val="31022459"/>
    <w:rsid w:val="310B3BEB"/>
    <w:rsid w:val="31122FD9"/>
    <w:rsid w:val="311659FB"/>
    <w:rsid w:val="312A0732"/>
    <w:rsid w:val="31307E30"/>
    <w:rsid w:val="3134728C"/>
    <w:rsid w:val="31414521"/>
    <w:rsid w:val="31725322"/>
    <w:rsid w:val="317A4801"/>
    <w:rsid w:val="319073CB"/>
    <w:rsid w:val="31A6600D"/>
    <w:rsid w:val="31A96512"/>
    <w:rsid w:val="31B1460D"/>
    <w:rsid w:val="31B81121"/>
    <w:rsid w:val="31BE74C6"/>
    <w:rsid w:val="31C04FAC"/>
    <w:rsid w:val="31C84DB2"/>
    <w:rsid w:val="31D3642B"/>
    <w:rsid w:val="31D5566A"/>
    <w:rsid w:val="31DF66F0"/>
    <w:rsid w:val="31ED2913"/>
    <w:rsid w:val="32061CBC"/>
    <w:rsid w:val="32156034"/>
    <w:rsid w:val="322B11F4"/>
    <w:rsid w:val="323B3974"/>
    <w:rsid w:val="32586CC1"/>
    <w:rsid w:val="325F7481"/>
    <w:rsid w:val="32633D82"/>
    <w:rsid w:val="32735CF1"/>
    <w:rsid w:val="32854959"/>
    <w:rsid w:val="32A3559F"/>
    <w:rsid w:val="32A80C58"/>
    <w:rsid w:val="32B05385"/>
    <w:rsid w:val="32D21971"/>
    <w:rsid w:val="32DF117C"/>
    <w:rsid w:val="32E50810"/>
    <w:rsid w:val="32F46296"/>
    <w:rsid w:val="32FA0BDF"/>
    <w:rsid w:val="3306141B"/>
    <w:rsid w:val="33064EC3"/>
    <w:rsid w:val="330E5BC7"/>
    <w:rsid w:val="33136C1F"/>
    <w:rsid w:val="33171A93"/>
    <w:rsid w:val="331B54A0"/>
    <w:rsid w:val="3320737B"/>
    <w:rsid w:val="33332C90"/>
    <w:rsid w:val="33383DB3"/>
    <w:rsid w:val="33411745"/>
    <w:rsid w:val="335756EB"/>
    <w:rsid w:val="335E5C93"/>
    <w:rsid w:val="33613BD2"/>
    <w:rsid w:val="33620371"/>
    <w:rsid w:val="336733C8"/>
    <w:rsid w:val="33690D36"/>
    <w:rsid w:val="338B2132"/>
    <w:rsid w:val="33C33952"/>
    <w:rsid w:val="33C50735"/>
    <w:rsid w:val="33D03CF9"/>
    <w:rsid w:val="33D277BF"/>
    <w:rsid w:val="33D64697"/>
    <w:rsid w:val="33DC3570"/>
    <w:rsid w:val="33EB5167"/>
    <w:rsid w:val="33ED2CCC"/>
    <w:rsid w:val="33FB2DA4"/>
    <w:rsid w:val="33FE342B"/>
    <w:rsid w:val="34104CB2"/>
    <w:rsid w:val="3433004E"/>
    <w:rsid w:val="343753AD"/>
    <w:rsid w:val="344062C5"/>
    <w:rsid w:val="344E1EAF"/>
    <w:rsid w:val="34610EB3"/>
    <w:rsid w:val="346B62E5"/>
    <w:rsid w:val="348252A8"/>
    <w:rsid w:val="34985D67"/>
    <w:rsid w:val="34A57447"/>
    <w:rsid w:val="34AA0BCB"/>
    <w:rsid w:val="34AC7C00"/>
    <w:rsid w:val="34B37837"/>
    <w:rsid w:val="34CB72C9"/>
    <w:rsid w:val="34CD15F1"/>
    <w:rsid w:val="34D57792"/>
    <w:rsid w:val="34D61B9C"/>
    <w:rsid w:val="34DA256D"/>
    <w:rsid w:val="34F00F68"/>
    <w:rsid w:val="34F83175"/>
    <w:rsid w:val="350F15BB"/>
    <w:rsid w:val="351F4E1F"/>
    <w:rsid w:val="352B0E9E"/>
    <w:rsid w:val="35390D75"/>
    <w:rsid w:val="355C41AC"/>
    <w:rsid w:val="357565D9"/>
    <w:rsid w:val="357F7875"/>
    <w:rsid w:val="3580155A"/>
    <w:rsid w:val="358D4DA5"/>
    <w:rsid w:val="359474B5"/>
    <w:rsid w:val="35B03355"/>
    <w:rsid w:val="35D371B7"/>
    <w:rsid w:val="35D668FB"/>
    <w:rsid w:val="35DA06F4"/>
    <w:rsid w:val="35E52AFE"/>
    <w:rsid w:val="35F91ACD"/>
    <w:rsid w:val="35FE17D0"/>
    <w:rsid w:val="36021A44"/>
    <w:rsid w:val="360A4BCA"/>
    <w:rsid w:val="361415B8"/>
    <w:rsid w:val="363D7BF7"/>
    <w:rsid w:val="364070BB"/>
    <w:rsid w:val="36407DDE"/>
    <w:rsid w:val="36583E64"/>
    <w:rsid w:val="366A3757"/>
    <w:rsid w:val="36745242"/>
    <w:rsid w:val="36807362"/>
    <w:rsid w:val="36980A88"/>
    <w:rsid w:val="369A1F13"/>
    <w:rsid w:val="36C92E0E"/>
    <w:rsid w:val="36CA6F23"/>
    <w:rsid w:val="36CF0C8F"/>
    <w:rsid w:val="36E122AC"/>
    <w:rsid w:val="371A458F"/>
    <w:rsid w:val="372A1B19"/>
    <w:rsid w:val="373F534B"/>
    <w:rsid w:val="3758421A"/>
    <w:rsid w:val="37600D3F"/>
    <w:rsid w:val="37665BAF"/>
    <w:rsid w:val="377820F7"/>
    <w:rsid w:val="377A38A7"/>
    <w:rsid w:val="37925A2C"/>
    <w:rsid w:val="37C07B1C"/>
    <w:rsid w:val="37EA2417"/>
    <w:rsid w:val="385025ED"/>
    <w:rsid w:val="38504871"/>
    <w:rsid w:val="385E09FD"/>
    <w:rsid w:val="386B5071"/>
    <w:rsid w:val="386E4A17"/>
    <w:rsid w:val="38811EE0"/>
    <w:rsid w:val="388E6E20"/>
    <w:rsid w:val="38A4166F"/>
    <w:rsid w:val="38B11F01"/>
    <w:rsid w:val="38BB5911"/>
    <w:rsid w:val="38C81EC1"/>
    <w:rsid w:val="38D07D15"/>
    <w:rsid w:val="38D37DCB"/>
    <w:rsid w:val="38DC3EF7"/>
    <w:rsid w:val="38F06DF2"/>
    <w:rsid w:val="38F866C9"/>
    <w:rsid w:val="39054F1E"/>
    <w:rsid w:val="390E5AFB"/>
    <w:rsid w:val="39171669"/>
    <w:rsid w:val="393F12C7"/>
    <w:rsid w:val="394E0549"/>
    <w:rsid w:val="39534387"/>
    <w:rsid w:val="39541356"/>
    <w:rsid w:val="39574F4B"/>
    <w:rsid w:val="395F1E49"/>
    <w:rsid w:val="396510C9"/>
    <w:rsid w:val="397E3CBF"/>
    <w:rsid w:val="398229F4"/>
    <w:rsid w:val="39866542"/>
    <w:rsid w:val="398707EC"/>
    <w:rsid w:val="39912B88"/>
    <w:rsid w:val="3994450D"/>
    <w:rsid w:val="39A06A44"/>
    <w:rsid w:val="39A5567B"/>
    <w:rsid w:val="39AD1179"/>
    <w:rsid w:val="39B25CCA"/>
    <w:rsid w:val="39B905C0"/>
    <w:rsid w:val="39CD764B"/>
    <w:rsid w:val="39D620EE"/>
    <w:rsid w:val="39F712F7"/>
    <w:rsid w:val="3A0974D7"/>
    <w:rsid w:val="3A167D2C"/>
    <w:rsid w:val="3A1A6288"/>
    <w:rsid w:val="3A2342CA"/>
    <w:rsid w:val="3A421E7D"/>
    <w:rsid w:val="3A4457A9"/>
    <w:rsid w:val="3A5D0DFA"/>
    <w:rsid w:val="3A6E7C96"/>
    <w:rsid w:val="3A7966D1"/>
    <w:rsid w:val="3A7A01B8"/>
    <w:rsid w:val="3A8A0CD7"/>
    <w:rsid w:val="3A916FD7"/>
    <w:rsid w:val="3AC81F25"/>
    <w:rsid w:val="3AD957AC"/>
    <w:rsid w:val="3AE62BFC"/>
    <w:rsid w:val="3AE73230"/>
    <w:rsid w:val="3AE8234F"/>
    <w:rsid w:val="3AF565F6"/>
    <w:rsid w:val="3B08135C"/>
    <w:rsid w:val="3B12145F"/>
    <w:rsid w:val="3B1C415F"/>
    <w:rsid w:val="3B1D68AE"/>
    <w:rsid w:val="3B297E39"/>
    <w:rsid w:val="3B375231"/>
    <w:rsid w:val="3B386F88"/>
    <w:rsid w:val="3B3A4193"/>
    <w:rsid w:val="3B6A39D6"/>
    <w:rsid w:val="3B6D252A"/>
    <w:rsid w:val="3B7665A9"/>
    <w:rsid w:val="3B814E04"/>
    <w:rsid w:val="3B961CB9"/>
    <w:rsid w:val="3BA27058"/>
    <w:rsid w:val="3BAA76CF"/>
    <w:rsid w:val="3BC539A3"/>
    <w:rsid w:val="3BCE32D7"/>
    <w:rsid w:val="3BDB38C3"/>
    <w:rsid w:val="3BE45F4B"/>
    <w:rsid w:val="3BF50DCE"/>
    <w:rsid w:val="3C092BC6"/>
    <w:rsid w:val="3C11518E"/>
    <w:rsid w:val="3C151D34"/>
    <w:rsid w:val="3C347F4E"/>
    <w:rsid w:val="3C413D49"/>
    <w:rsid w:val="3C474CF7"/>
    <w:rsid w:val="3C591D70"/>
    <w:rsid w:val="3C5E3747"/>
    <w:rsid w:val="3C657DD1"/>
    <w:rsid w:val="3C886A25"/>
    <w:rsid w:val="3C9A671C"/>
    <w:rsid w:val="3C9C2186"/>
    <w:rsid w:val="3C9F7401"/>
    <w:rsid w:val="3CA5228C"/>
    <w:rsid w:val="3CA74309"/>
    <w:rsid w:val="3CAF281A"/>
    <w:rsid w:val="3CB41E42"/>
    <w:rsid w:val="3CBD5339"/>
    <w:rsid w:val="3CC922F2"/>
    <w:rsid w:val="3CCA416D"/>
    <w:rsid w:val="3CD71B50"/>
    <w:rsid w:val="3CD93042"/>
    <w:rsid w:val="3CEC15A6"/>
    <w:rsid w:val="3CEC2BF8"/>
    <w:rsid w:val="3CF11EE7"/>
    <w:rsid w:val="3CF31F4F"/>
    <w:rsid w:val="3CFD256E"/>
    <w:rsid w:val="3D10193C"/>
    <w:rsid w:val="3D351527"/>
    <w:rsid w:val="3D442526"/>
    <w:rsid w:val="3D5F619E"/>
    <w:rsid w:val="3D65745A"/>
    <w:rsid w:val="3D6C04CD"/>
    <w:rsid w:val="3D74530F"/>
    <w:rsid w:val="3D781857"/>
    <w:rsid w:val="3D911587"/>
    <w:rsid w:val="3DAB5EF3"/>
    <w:rsid w:val="3DB03481"/>
    <w:rsid w:val="3DB96BEE"/>
    <w:rsid w:val="3DBA3BD8"/>
    <w:rsid w:val="3DC213DF"/>
    <w:rsid w:val="3DF312E7"/>
    <w:rsid w:val="3DFB0757"/>
    <w:rsid w:val="3E056416"/>
    <w:rsid w:val="3E0B014E"/>
    <w:rsid w:val="3E116A1F"/>
    <w:rsid w:val="3E1515AF"/>
    <w:rsid w:val="3E1C1BDC"/>
    <w:rsid w:val="3E3143FD"/>
    <w:rsid w:val="3E643C6C"/>
    <w:rsid w:val="3E6726B2"/>
    <w:rsid w:val="3E76771D"/>
    <w:rsid w:val="3E811E50"/>
    <w:rsid w:val="3EB22F04"/>
    <w:rsid w:val="3EBA55CD"/>
    <w:rsid w:val="3EDC792D"/>
    <w:rsid w:val="3EE742AA"/>
    <w:rsid w:val="3EEA65A8"/>
    <w:rsid w:val="3EFF5952"/>
    <w:rsid w:val="3F050F8F"/>
    <w:rsid w:val="3F0717F4"/>
    <w:rsid w:val="3F0D129B"/>
    <w:rsid w:val="3F224D22"/>
    <w:rsid w:val="3F225759"/>
    <w:rsid w:val="3F2318C2"/>
    <w:rsid w:val="3F2A0D32"/>
    <w:rsid w:val="3F62691F"/>
    <w:rsid w:val="3F6D3C6F"/>
    <w:rsid w:val="3F721BAC"/>
    <w:rsid w:val="3F75471D"/>
    <w:rsid w:val="3F984995"/>
    <w:rsid w:val="3FA33DE7"/>
    <w:rsid w:val="3FA9595A"/>
    <w:rsid w:val="3FAD3BC4"/>
    <w:rsid w:val="3FAF58B6"/>
    <w:rsid w:val="3FB50C4B"/>
    <w:rsid w:val="3FB6591C"/>
    <w:rsid w:val="3FB8695C"/>
    <w:rsid w:val="3FD85543"/>
    <w:rsid w:val="3FDD1869"/>
    <w:rsid w:val="3FDF3E0F"/>
    <w:rsid w:val="3FE00C9F"/>
    <w:rsid w:val="3FF71A17"/>
    <w:rsid w:val="40025414"/>
    <w:rsid w:val="402E6620"/>
    <w:rsid w:val="403558B2"/>
    <w:rsid w:val="405C4927"/>
    <w:rsid w:val="40717B85"/>
    <w:rsid w:val="40AA46BB"/>
    <w:rsid w:val="40BF7D8B"/>
    <w:rsid w:val="40C047C3"/>
    <w:rsid w:val="40D078FF"/>
    <w:rsid w:val="40D44456"/>
    <w:rsid w:val="40FC085A"/>
    <w:rsid w:val="41107825"/>
    <w:rsid w:val="413061BF"/>
    <w:rsid w:val="413C4C06"/>
    <w:rsid w:val="415014CB"/>
    <w:rsid w:val="41651556"/>
    <w:rsid w:val="41684665"/>
    <w:rsid w:val="41694A01"/>
    <w:rsid w:val="41907CEB"/>
    <w:rsid w:val="41971FF5"/>
    <w:rsid w:val="41BF1E9D"/>
    <w:rsid w:val="41CF1EF3"/>
    <w:rsid w:val="41D2651A"/>
    <w:rsid w:val="41DD4574"/>
    <w:rsid w:val="41FD6AE4"/>
    <w:rsid w:val="420125DB"/>
    <w:rsid w:val="42023C60"/>
    <w:rsid w:val="421708DA"/>
    <w:rsid w:val="422C351D"/>
    <w:rsid w:val="4241494A"/>
    <w:rsid w:val="425B1ABA"/>
    <w:rsid w:val="426F4AB8"/>
    <w:rsid w:val="4274047D"/>
    <w:rsid w:val="42777EDF"/>
    <w:rsid w:val="429F5CBF"/>
    <w:rsid w:val="42A55765"/>
    <w:rsid w:val="42AC764E"/>
    <w:rsid w:val="42BA2C13"/>
    <w:rsid w:val="42CA3BE4"/>
    <w:rsid w:val="42D22685"/>
    <w:rsid w:val="431123C6"/>
    <w:rsid w:val="43135435"/>
    <w:rsid w:val="431F069C"/>
    <w:rsid w:val="43291F61"/>
    <w:rsid w:val="433C2F34"/>
    <w:rsid w:val="43561F5C"/>
    <w:rsid w:val="435F19AF"/>
    <w:rsid w:val="4371629B"/>
    <w:rsid w:val="43875D58"/>
    <w:rsid w:val="43903A6A"/>
    <w:rsid w:val="439148AA"/>
    <w:rsid w:val="439703F3"/>
    <w:rsid w:val="43C97EDB"/>
    <w:rsid w:val="43CC42FC"/>
    <w:rsid w:val="43DD1656"/>
    <w:rsid w:val="43E1114B"/>
    <w:rsid w:val="440019F5"/>
    <w:rsid w:val="441647C1"/>
    <w:rsid w:val="441F54DB"/>
    <w:rsid w:val="442D6323"/>
    <w:rsid w:val="442E3F67"/>
    <w:rsid w:val="44311D00"/>
    <w:rsid w:val="444F788A"/>
    <w:rsid w:val="44585369"/>
    <w:rsid w:val="44596670"/>
    <w:rsid w:val="446D043A"/>
    <w:rsid w:val="44860883"/>
    <w:rsid w:val="44895739"/>
    <w:rsid w:val="44896A72"/>
    <w:rsid w:val="44BA026B"/>
    <w:rsid w:val="44C42E38"/>
    <w:rsid w:val="44C84166"/>
    <w:rsid w:val="44DA52CF"/>
    <w:rsid w:val="44DC6B57"/>
    <w:rsid w:val="44EB7AEF"/>
    <w:rsid w:val="44FB6DB7"/>
    <w:rsid w:val="45424A72"/>
    <w:rsid w:val="45624DBA"/>
    <w:rsid w:val="4568626D"/>
    <w:rsid w:val="456A7E70"/>
    <w:rsid w:val="4585282D"/>
    <w:rsid w:val="45890DF0"/>
    <w:rsid w:val="458D222A"/>
    <w:rsid w:val="459133BD"/>
    <w:rsid w:val="45941E9D"/>
    <w:rsid w:val="459751CC"/>
    <w:rsid w:val="459C3AD4"/>
    <w:rsid w:val="45AC4B0E"/>
    <w:rsid w:val="45BE1495"/>
    <w:rsid w:val="45F32B0B"/>
    <w:rsid w:val="45F42FC6"/>
    <w:rsid w:val="46134C6B"/>
    <w:rsid w:val="46221919"/>
    <w:rsid w:val="4641144A"/>
    <w:rsid w:val="46497E58"/>
    <w:rsid w:val="4652291A"/>
    <w:rsid w:val="465B5C1A"/>
    <w:rsid w:val="46806F08"/>
    <w:rsid w:val="46847BBE"/>
    <w:rsid w:val="46856B1C"/>
    <w:rsid w:val="468E185B"/>
    <w:rsid w:val="46A15010"/>
    <w:rsid w:val="46A642CF"/>
    <w:rsid w:val="46BD76A1"/>
    <w:rsid w:val="46DF26C8"/>
    <w:rsid w:val="46E45403"/>
    <w:rsid w:val="46E52234"/>
    <w:rsid w:val="46F721FC"/>
    <w:rsid w:val="46FB1167"/>
    <w:rsid w:val="470102A6"/>
    <w:rsid w:val="47121C94"/>
    <w:rsid w:val="472B3B35"/>
    <w:rsid w:val="472D5DA5"/>
    <w:rsid w:val="47321974"/>
    <w:rsid w:val="476120EE"/>
    <w:rsid w:val="47656DB9"/>
    <w:rsid w:val="477877C3"/>
    <w:rsid w:val="47831654"/>
    <w:rsid w:val="478D66EC"/>
    <w:rsid w:val="479178C2"/>
    <w:rsid w:val="479326CD"/>
    <w:rsid w:val="479B5ABE"/>
    <w:rsid w:val="47A10846"/>
    <w:rsid w:val="47B20727"/>
    <w:rsid w:val="47B24337"/>
    <w:rsid w:val="47BC3FF0"/>
    <w:rsid w:val="47C31E38"/>
    <w:rsid w:val="47D408E5"/>
    <w:rsid w:val="47DA52F7"/>
    <w:rsid w:val="47EE08F5"/>
    <w:rsid w:val="47F148F1"/>
    <w:rsid w:val="481C5CA9"/>
    <w:rsid w:val="48341C78"/>
    <w:rsid w:val="484B3394"/>
    <w:rsid w:val="484C1526"/>
    <w:rsid w:val="484E1428"/>
    <w:rsid w:val="48544D06"/>
    <w:rsid w:val="485B06D1"/>
    <w:rsid w:val="4873446C"/>
    <w:rsid w:val="489A3AF0"/>
    <w:rsid w:val="489B3BF1"/>
    <w:rsid w:val="48A428EB"/>
    <w:rsid w:val="48B24E61"/>
    <w:rsid w:val="48C07AF0"/>
    <w:rsid w:val="48CE7072"/>
    <w:rsid w:val="48E15228"/>
    <w:rsid w:val="48E61C00"/>
    <w:rsid w:val="48ED72C2"/>
    <w:rsid w:val="490544DA"/>
    <w:rsid w:val="49125D52"/>
    <w:rsid w:val="491C5A06"/>
    <w:rsid w:val="493355BE"/>
    <w:rsid w:val="49383A30"/>
    <w:rsid w:val="494E52B4"/>
    <w:rsid w:val="49581693"/>
    <w:rsid w:val="495F006C"/>
    <w:rsid w:val="496B00D3"/>
    <w:rsid w:val="49845EDF"/>
    <w:rsid w:val="49913B76"/>
    <w:rsid w:val="49A164A8"/>
    <w:rsid w:val="49AE26D9"/>
    <w:rsid w:val="49B46FD7"/>
    <w:rsid w:val="49B76309"/>
    <w:rsid w:val="49CC4C64"/>
    <w:rsid w:val="49D33870"/>
    <w:rsid w:val="49D63047"/>
    <w:rsid w:val="4A0444C5"/>
    <w:rsid w:val="4A074D06"/>
    <w:rsid w:val="4A451907"/>
    <w:rsid w:val="4A5F57EF"/>
    <w:rsid w:val="4A62180B"/>
    <w:rsid w:val="4A726B32"/>
    <w:rsid w:val="4A741139"/>
    <w:rsid w:val="4A7E01F4"/>
    <w:rsid w:val="4A8536D2"/>
    <w:rsid w:val="4A8737DA"/>
    <w:rsid w:val="4A884476"/>
    <w:rsid w:val="4AA46B69"/>
    <w:rsid w:val="4AC339A2"/>
    <w:rsid w:val="4ADC47D6"/>
    <w:rsid w:val="4AE01259"/>
    <w:rsid w:val="4AE31092"/>
    <w:rsid w:val="4AFF783B"/>
    <w:rsid w:val="4B266406"/>
    <w:rsid w:val="4B325161"/>
    <w:rsid w:val="4B417DEB"/>
    <w:rsid w:val="4B6F0200"/>
    <w:rsid w:val="4B7871C9"/>
    <w:rsid w:val="4B7C0820"/>
    <w:rsid w:val="4B8767C0"/>
    <w:rsid w:val="4B876B4B"/>
    <w:rsid w:val="4B8F21F8"/>
    <w:rsid w:val="4B956E72"/>
    <w:rsid w:val="4B9648D3"/>
    <w:rsid w:val="4BB04356"/>
    <w:rsid w:val="4BB5342A"/>
    <w:rsid w:val="4BD46285"/>
    <w:rsid w:val="4BD6407E"/>
    <w:rsid w:val="4BE147B3"/>
    <w:rsid w:val="4C0169C2"/>
    <w:rsid w:val="4C083395"/>
    <w:rsid w:val="4C172222"/>
    <w:rsid w:val="4C1F25AE"/>
    <w:rsid w:val="4C5839C8"/>
    <w:rsid w:val="4C7C2508"/>
    <w:rsid w:val="4C9830DA"/>
    <w:rsid w:val="4C9B5410"/>
    <w:rsid w:val="4C9B5530"/>
    <w:rsid w:val="4CAD6CA0"/>
    <w:rsid w:val="4CB20870"/>
    <w:rsid w:val="4CDE4421"/>
    <w:rsid w:val="4CE87639"/>
    <w:rsid w:val="4CEB502D"/>
    <w:rsid w:val="4D274107"/>
    <w:rsid w:val="4D2F37FE"/>
    <w:rsid w:val="4D3D1D24"/>
    <w:rsid w:val="4D4F05A9"/>
    <w:rsid w:val="4D513987"/>
    <w:rsid w:val="4D686C8D"/>
    <w:rsid w:val="4D797534"/>
    <w:rsid w:val="4D7D13CF"/>
    <w:rsid w:val="4D85441E"/>
    <w:rsid w:val="4D862070"/>
    <w:rsid w:val="4D894BF3"/>
    <w:rsid w:val="4DA07DA0"/>
    <w:rsid w:val="4DAA5BDA"/>
    <w:rsid w:val="4DAC4CC3"/>
    <w:rsid w:val="4DBA543C"/>
    <w:rsid w:val="4DD6060E"/>
    <w:rsid w:val="4DF028FC"/>
    <w:rsid w:val="4DF11419"/>
    <w:rsid w:val="4DF1313A"/>
    <w:rsid w:val="4DF34673"/>
    <w:rsid w:val="4E005B39"/>
    <w:rsid w:val="4E030739"/>
    <w:rsid w:val="4E20643C"/>
    <w:rsid w:val="4E382188"/>
    <w:rsid w:val="4E4478F5"/>
    <w:rsid w:val="4E4F6BA1"/>
    <w:rsid w:val="4E531A68"/>
    <w:rsid w:val="4E546612"/>
    <w:rsid w:val="4E6A5C09"/>
    <w:rsid w:val="4E79732B"/>
    <w:rsid w:val="4E8F78DC"/>
    <w:rsid w:val="4E95560A"/>
    <w:rsid w:val="4E963E7C"/>
    <w:rsid w:val="4E9F6D9D"/>
    <w:rsid w:val="4EB47C13"/>
    <w:rsid w:val="4EC53CB6"/>
    <w:rsid w:val="4EDD7AD7"/>
    <w:rsid w:val="4EE91391"/>
    <w:rsid w:val="4EF57719"/>
    <w:rsid w:val="4F057CA4"/>
    <w:rsid w:val="4F1B27B4"/>
    <w:rsid w:val="4F245F9E"/>
    <w:rsid w:val="4F2A5C09"/>
    <w:rsid w:val="4F523688"/>
    <w:rsid w:val="4F572C4C"/>
    <w:rsid w:val="4F5759DB"/>
    <w:rsid w:val="4F5B1B0A"/>
    <w:rsid w:val="4F78595B"/>
    <w:rsid w:val="4F9204F7"/>
    <w:rsid w:val="4F9E36A5"/>
    <w:rsid w:val="4FB13C57"/>
    <w:rsid w:val="4FC974C0"/>
    <w:rsid w:val="4FD44C73"/>
    <w:rsid w:val="4FDB41A3"/>
    <w:rsid w:val="4FF036E0"/>
    <w:rsid w:val="4FF63BB1"/>
    <w:rsid w:val="4FFA57DF"/>
    <w:rsid w:val="500137B6"/>
    <w:rsid w:val="50016F82"/>
    <w:rsid w:val="50186B29"/>
    <w:rsid w:val="50433A8E"/>
    <w:rsid w:val="504A3CF5"/>
    <w:rsid w:val="504A556E"/>
    <w:rsid w:val="5058482A"/>
    <w:rsid w:val="50AA0928"/>
    <w:rsid w:val="50AE7880"/>
    <w:rsid w:val="50C83FDB"/>
    <w:rsid w:val="50CC408F"/>
    <w:rsid w:val="50E86891"/>
    <w:rsid w:val="50E93B19"/>
    <w:rsid w:val="50F23DA9"/>
    <w:rsid w:val="51023F76"/>
    <w:rsid w:val="515D338B"/>
    <w:rsid w:val="516057A4"/>
    <w:rsid w:val="51703C97"/>
    <w:rsid w:val="51931C04"/>
    <w:rsid w:val="519D5FA1"/>
    <w:rsid w:val="51A57E7A"/>
    <w:rsid w:val="51BB7D29"/>
    <w:rsid w:val="51BD64F7"/>
    <w:rsid w:val="51CF1ACC"/>
    <w:rsid w:val="51DB10A5"/>
    <w:rsid w:val="51E11F6A"/>
    <w:rsid w:val="51E541CB"/>
    <w:rsid w:val="51ED10E3"/>
    <w:rsid w:val="51FB077D"/>
    <w:rsid w:val="52153BCE"/>
    <w:rsid w:val="521A3F9A"/>
    <w:rsid w:val="52473D01"/>
    <w:rsid w:val="527842CB"/>
    <w:rsid w:val="528972B4"/>
    <w:rsid w:val="528E520C"/>
    <w:rsid w:val="52990910"/>
    <w:rsid w:val="52C4531A"/>
    <w:rsid w:val="52D93AE7"/>
    <w:rsid w:val="52E30CC1"/>
    <w:rsid w:val="52F60154"/>
    <w:rsid w:val="52F65065"/>
    <w:rsid w:val="52FE2588"/>
    <w:rsid w:val="530C44AD"/>
    <w:rsid w:val="533D1C30"/>
    <w:rsid w:val="534460DB"/>
    <w:rsid w:val="53492C98"/>
    <w:rsid w:val="534F330B"/>
    <w:rsid w:val="53516CBE"/>
    <w:rsid w:val="53562028"/>
    <w:rsid w:val="537B37FF"/>
    <w:rsid w:val="53B12607"/>
    <w:rsid w:val="53CD5220"/>
    <w:rsid w:val="53D311BC"/>
    <w:rsid w:val="53D4582A"/>
    <w:rsid w:val="53DA6FC5"/>
    <w:rsid w:val="53DD0376"/>
    <w:rsid w:val="53E62C3E"/>
    <w:rsid w:val="53E6459B"/>
    <w:rsid w:val="54197D65"/>
    <w:rsid w:val="542342AA"/>
    <w:rsid w:val="54245967"/>
    <w:rsid w:val="543906F6"/>
    <w:rsid w:val="54417795"/>
    <w:rsid w:val="54453C04"/>
    <w:rsid w:val="544E4508"/>
    <w:rsid w:val="54516F78"/>
    <w:rsid w:val="545D5B15"/>
    <w:rsid w:val="546450D5"/>
    <w:rsid w:val="54785406"/>
    <w:rsid w:val="547F617C"/>
    <w:rsid w:val="54877B2B"/>
    <w:rsid w:val="549814FC"/>
    <w:rsid w:val="549A6D4A"/>
    <w:rsid w:val="54B50D7B"/>
    <w:rsid w:val="54B71619"/>
    <w:rsid w:val="54CC3FAC"/>
    <w:rsid w:val="54CE3D30"/>
    <w:rsid w:val="54DF6509"/>
    <w:rsid w:val="54E63524"/>
    <w:rsid w:val="54F93ECF"/>
    <w:rsid w:val="55041FE4"/>
    <w:rsid w:val="55060986"/>
    <w:rsid w:val="55142A05"/>
    <w:rsid w:val="551C08B3"/>
    <w:rsid w:val="552A5FDD"/>
    <w:rsid w:val="552C4870"/>
    <w:rsid w:val="5551133C"/>
    <w:rsid w:val="555849B2"/>
    <w:rsid w:val="556303A5"/>
    <w:rsid w:val="55795D23"/>
    <w:rsid w:val="559B6604"/>
    <w:rsid w:val="55A02734"/>
    <w:rsid w:val="55A96053"/>
    <w:rsid w:val="55AE4F8F"/>
    <w:rsid w:val="55B06F2C"/>
    <w:rsid w:val="55C03FCF"/>
    <w:rsid w:val="55C43429"/>
    <w:rsid w:val="55C66B3D"/>
    <w:rsid w:val="55D9436F"/>
    <w:rsid w:val="55E659EC"/>
    <w:rsid w:val="55ED4645"/>
    <w:rsid w:val="55ED585E"/>
    <w:rsid w:val="55F32CB5"/>
    <w:rsid w:val="55FA75B4"/>
    <w:rsid w:val="560143A9"/>
    <w:rsid w:val="561A68B3"/>
    <w:rsid w:val="5659457E"/>
    <w:rsid w:val="56692494"/>
    <w:rsid w:val="566B7A60"/>
    <w:rsid w:val="566F215A"/>
    <w:rsid w:val="56743311"/>
    <w:rsid w:val="569832EA"/>
    <w:rsid w:val="56A20C29"/>
    <w:rsid w:val="56B00F3D"/>
    <w:rsid w:val="56C50E52"/>
    <w:rsid w:val="56C86304"/>
    <w:rsid w:val="56DC38F3"/>
    <w:rsid w:val="570A6C57"/>
    <w:rsid w:val="5729105E"/>
    <w:rsid w:val="57340BDB"/>
    <w:rsid w:val="57393824"/>
    <w:rsid w:val="574219BC"/>
    <w:rsid w:val="5746250F"/>
    <w:rsid w:val="575323A1"/>
    <w:rsid w:val="576F626A"/>
    <w:rsid w:val="57875E09"/>
    <w:rsid w:val="57B76E49"/>
    <w:rsid w:val="57C83902"/>
    <w:rsid w:val="57C93F9E"/>
    <w:rsid w:val="57D701F7"/>
    <w:rsid w:val="57F5539C"/>
    <w:rsid w:val="58093DDD"/>
    <w:rsid w:val="580D097D"/>
    <w:rsid w:val="5814564B"/>
    <w:rsid w:val="58151D41"/>
    <w:rsid w:val="581A4428"/>
    <w:rsid w:val="583A4B00"/>
    <w:rsid w:val="58500D98"/>
    <w:rsid w:val="58672646"/>
    <w:rsid w:val="587902B5"/>
    <w:rsid w:val="587D378A"/>
    <w:rsid w:val="58AC2F4B"/>
    <w:rsid w:val="58AF60A7"/>
    <w:rsid w:val="58B25735"/>
    <w:rsid w:val="58B7760D"/>
    <w:rsid w:val="58D4514B"/>
    <w:rsid w:val="58E36B05"/>
    <w:rsid w:val="58FD581F"/>
    <w:rsid w:val="58FF05AC"/>
    <w:rsid w:val="592521B0"/>
    <w:rsid w:val="592A00D8"/>
    <w:rsid w:val="592B1FB5"/>
    <w:rsid w:val="59323F48"/>
    <w:rsid w:val="59324904"/>
    <w:rsid w:val="59365A0F"/>
    <w:rsid w:val="59667E3B"/>
    <w:rsid w:val="59880B41"/>
    <w:rsid w:val="59B63AA0"/>
    <w:rsid w:val="59C6341D"/>
    <w:rsid w:val="59D07EAF"/>
    <w:rsid w:val="59DB2051"/>
    <w:rsid w:val="59FA4BC0"/>
    <w:rsid w:val="5A010B78"/>
    <w:rsid w:val="5A02477E"/>
    <w:rsid w:val="5A040CE8"/>
    <w:rsid w:val="5A0A4196"/>
    <w:rsid w:val="5A2115F0"/>
    <w:rsid w:val="5A293F7F"/>
    <w:rsid w:val="5A344C1D"/>
    <w:rsid w:val="5A3B3B02"/>
    <w:rsid w:val="5A432C28"/>
    <w:rsid w:val="5A6E409D"/>
    <w:rsid w:val="5A845321"/>
    <w:rsid w:val="5A853385"/>
    <w:rsid w:val="5A953C02"/>
    <w:rsid w:val="5A975732"/>
    <w:rsid w:val="5AB36749"/>
    <w:rsid w:val="5AE93912"/>
    <w:rsid w:val="5B0A6ED9"/>
    <w:rsid w:val="5B0E2145"/>
    <w:rsid w:val="5B127680"/>
    <w:rsid w:val="5B146641"/>
    <w:rsid w:val="5B215CD1"/>
    <w:rsid w:val="5B406642"/>
    <w:rsid w:val="5B4A7C79"/>
    <w:rsid w:val="5B4C0AF9"/>
    <w:rsid w:val="5B6C0C6C"/>
    <w:rsid w:val="5B6E5FF1"/>
    <w:rsid w:val="5B747F7F"/>
    <w:rsid w:val="5B915A95"/>
    <w:rsid w:val="5BA005AC"/>
    <w:rsid w:val="5BC7624F"/>
    <w:rsid w:val="5BD1001C"/>
    <w:rsid w:val="5BD6577B"/>
    <w:rsid w:val="5BEC7506"/>
    <w:rsid w:val="5C0716D5"/>
    <w:rsid w:val="5C0C01BE"/>
    <w:rsid w:val="5C0C2935"/>
    <w:rsid w:val="5C13779B"/>
    <w:rsid w:val="5C17071E"/>
    <w:rsid w:val="5C220DFE"/>
    <w:rsid w:val="5C2A4FEB"/>
    <w:rsid w:val="5C2C2FAF"/>
    <w:rsid w:val="5C310ACC"/>
    <w:rsid w:val="5C38729C"/>
    <w:rsid w:val="5C3E56B8"/>
    <w:rsid w:val="5C502E84"/>
    <w:rsid w:val="5C6644E3"/>
    <w:rsid w:val="5C6E6F00"/>
    <w:rsid w:val="5C825851"/>
    <w:rsid w:val="5C9B6647"/>
    <w:rsid w:val="5CA372CB"/>
    <w:rsid w:val="5CB36133"/>
    <w:rsid w:val="5CD765E0"/>
    <w:rsid w:val="5CDA6650"/>
    <w:rsid w:val="5CEC1303"/>
    <w:rsid w:val="5CEE6291"/>
    <w:rsid w:val="5D046432"/>
    <w:rsid w:val="5D0A16F0"/>
    <w:rsid w:val="5D0A5B35"/>
    <w:rsid w:val="5D1C5CE1"/>
    <w:rsid w:val="5D1D6CE1"/>
    <w:rsid w:val="5D2128F1"/>
    <w:rsid w:val="5D300BBE"/>
    <w:rsid w:val="5D5A1EA1"/>
    <w:rsid w:val="5D5F2308"/>
    <w:rsid w:val="5D62129C"/>
    <w:rsid w:val="5D763ED3"/>
    <w:rsid w:val="5D7F0031"/>
    <w:rsid w:val="5D975399"/>
    <w:rsid w:val="5D9A48E9"/>
    <w:rsid w:val="5DB37A1A"/>
    <w:rsid w:val="5DBC63AC"/>
    <w:rsid w:val="5DC62213"/>
    <w:rsid w:val="5DF23A64"/>
    <w:rsid w:val="5E1E5ADC"/>
    <w:rsid w:val="5E2F4485"/>
    <w:rsid w:val="5E390C25"/>
    <w:rsid w:val="5E4029C0"/>
    <w:rsid w:val="5E590413"/>
    <w:rsid w:val="5E5A1552"/>
    <w:rsid w:val="5E774A07"/>
    <w:rsid w:val="5E8C49AC"/>
    <w:rsid w:val="5E8E016E"/>
    <w:rsid w:val="5EAA2165"/>
    <w:rsid w:val="5EAC569F"/>
    <w:rsid w:val="5EB72C5F"/>
    <w:rsid w:val="5EBB576F"/>
    <w:rsid w:val="5ED602A4"/>
    <w:rsid w:val="5EDB41DF"/>
    <w:rsid w:val="5EDF6B39"/>
    <w:rsid w:val="5EE62ABD"/>
    <w:rsid w:val="5EF15D3B"/>
    <w:rsid w:val="5F1E4A5A"/>
    <w:rsid w:val="5F2E5FFA"/>
    <w:rsid w:val="5F5C4E72"/>
    <w:rsid w:val="5F641F20"/>
    <w:rsid w:val="5F710CEF"/>
    <w:rsid w:val="5F8B40D0"/>
    <w:rsid w:val="5FC441DD"/>
    <w:rsid w:val="5FEB1A01"/>
    <w:rsid w:val="5FF84F22"/>
    <w:rsid w:val="60252844"/>
    <w:rsid w:val="602E11A4"/>
    <w:rsid w:val="60311EAA"/>
    <w:rsid w:val="60340F5D"/>
    <w:rsid w:val="60413003"/>
    <w:rsid w:val="60432768"/>
    <w:rsid w:val="6054685E"/>
    <w:rsid w:val="606F4BE5"/>
    <w:rsid w:val="609B7EBC"/>
    <w:rsid w:val="609C1A76"/>
    <w:rsid w:val="60B34738"/>
    <w:rsid w:val="60BD400D"/>
    <w:rsid w:val="60C3787A"/>
    <w:rsid w:val="60C47786"/>
    <w:rsid w:val="60CF1E54"/>
    <w:rsid w:val="60E82E58"/>
    <w:rsid w:val="60E90AEA"/>
    <w:rsid w:val="60EA2D2F"/>
    <w:rsid w:val="610F24E6"/>
    <w:rsid w:val="61304C00"/>
    <w:rsid w:val="61312681"/>
    <w:rsid w:val="61372542"/>
    <w:rsid w:val="614E66CC"/>
    <w:rsid w:val="61B14255"/>
    <w:rsid w:val="61BF4882"/>
    <w:rsid w:val="61C23590"/>
    <w:rsid w:val="61C452F0"/>
    <w:rsid w:val="61C46299"/>
    <w:rsid w:val="61C96547"/>
    <w:rsid w:val="61D06927"/>
    <w:rsid w:val="61D763B2"/>
    <w:rsid w:val="61DA3DEE"/>
    <w:rsid w:val="61E749A9"/>
    <w:rsid w:val="61F35FE7"/>
    <w:rsid w:val="61F9137B"/>
    <w:rsid w:val="6203004F"/>
    <w:rsid w:val="62041454"/>
    <w:rsid w:val="621230B7"/>
    <w:rsid w:val="621B0CE9"/>
    <w:rsid w:val="622168DF"/>
    <w:rsid w:val="62273F51"/>
    <w:rsid w:val="623A3B72"/>
    <w:rsid w:val="6246156C"/>
    <w:rsid w:val="62576B95"/>
    <w:rsid w:val="626B7030"/>
    <w:rsid w:val="627F076F"/>
    <w:rsid w:val="628B71A8"/>
    <w:rsid w:val="62BF7724"/>
    <w:rsid w:val="62CF1896"/>
    <w:rsid w:val="62D013E6"/>
    <w:rsid w:val="62E33235"/>
    <w:rsid w:val="62E6697E"/>
    <w:rsid w:val="62F74890"/>
    <w:rsid w:val="630C0D86"/>
    <w:rsid w:val="63157F52"/>
    <w:rsid w:val="631B12A8"/>
    <w:rsid w:val="633914DA"/>
    <w:rsid w:val="6348751F"/>
    <w:rsid w:val="635F6AD3"/>
    <w:rsid w:val="636B5914"/>
    <w:rsid w:val="636F700F"/>
    <w:rsid w:val="63794989"/>
    <w:rsid w:val="63803BA6"/>
    <w:rsid w:val="638E19C0"/>
    <w:rsid w:val="63905E91"/>
    <w:rsid w:val="63971ACB"/>
    <w:rsid w:val="639E5DAF"/>
    <w:rsid w:val="63A7124C"/>
    <w:rsid w:val="63A93DD1"/>
    <w:rsid w:val="63B71C28"/>
    <w:rsid w:val="63D81C96"/>
    <w:rsid w:val="63E852A2"/>
    <w:rsid w:val="63F203FE"/>
    <w:rsid w:val="63F57C78"/>
    <w:rsid w:val="641E4923"/>
    <w:rsid w:val="641F5076"/>
    <w:rsid w:val="642F161D"/>
    <w:rsid w:val="643C3320"/>
    <w:rsid w:val="64630CF9"/>
    <w:rsid w:val="646D768E"/>
    <w:rsid w:val="646F5052"/>
    <w:rsid w:val="648503CB"/>
    <w:rsid w:val="64867B99"/>
    <w:rsid w:val="64B8733E"/>
    <w:rsid w:val="64BB6B44"/>
    <w:rsid w:val="64C020FB"/>
    <w:rsid w:val="64C115D9"/>
    <w:rsid w:val="64C8682D"/>
    <w:rsid w:val="64CA1EE8"/>
    <w:rsid w:val="64CB7033"/>
    <w:rsid w:val="64E70E04"/>
    <w:rsid w:val="64ED2E74"/>
    <w:rsid w:val="64F471E3"/>
    <w:rsid w:val="64F63133"/>
    <w:rsid w:val="6515594F"/>
    <w:rsid w:val="651925F0"/>
    <w:rsid w:val="651A3158"/>
    <w:rsid w:val="65232EB7"/>
    <w:rsid w:val="65266F92"/>
    <w:rsid w:val="652B3002"/>
    <w:rsid w:val="65372496"/>
    <w:rsid w:val="656A1E1F"/>
    <w:rsid w:val="65721F48"/>
    <w:rsid w:val="65835C26"/>
    <w:rsid w:val="658435D6"/>
    <w:rsid w:val="659476E2"/>
    <w:rsid w:val="659C0803"/>
    <w:rsid w:val="65A833FA"/>
    <w:rsid w:val="65AF7BB9"/>
    <w:rsid w:val="65B54836"/>
    <w:rsid w:val="65BF767A"/>
    <w:rsid w:val="65D76888"/>
    <w:rsid w:val="65DC6F98"/>
    <w:rsid w:val="65E60675"/>
    <w:rsid w:val="65E64BC5"/>
    <w:rsid w:val="65FA0134"/>
    <w:rsid w:val="663F3F03"/>
    <w:rsid w:val="664C2F86"/>
    <w:rsid w:val="665416D6"/>
    <w:rsid w:val="666E492D"/>
    <w:rsid w:val="667A6E90"/>
    <w:rsid w:val="66843D7F"/>
    <w:rsid w:val="668D2855"/>
    <w:rsid w:val="66A90C9A"/>
    <w:rsid w:val="66AA3F62"/>
    <w:rsid w:val="66B23A7E"/>
    <w:rsid w:val="66CF6098"/>
    <w:rsid w:val="66DF7510"/>
    <w:rsid w:val="67067160"/>
    <w:rsid w:val="67137AB8"/>
    <w:rsid w:val="671A125F"/>
    <w:rsid w:val="671B1B26"/>
    <w:rsid w:val="672B37CC"/>
    <w:rsid w:val="67353FAE"/>
    <w:rsid w:val="673E5997"/>
    <w:rsid w:val="674A6A84"/>
    <w:rsid w:val="674C0FFA"/>
    <w:rsid w:val="675A6301"/>
    <w:rsid w:val="67613709"/>
    <w:rsid w:val="676B483B"/>
    <w:rsid w:val="67755BFC"/>
    <w:rsid w:val="67901D3C"/>
    <w:rsid w:val="67913DA1"/>
    <w:rsid w:val="679541F4"/>
    <w:rsid w:val="679544E4"/>
    <w:rsid w:val="67B34920"/>
    <w:rsid w:val="67BA0401"/>
    <w:rsid w:val="67EA2957"/>
    <w:rsid w:val="67EB660D"/>
    <w:rsid w:val="68031F4B"/>
    <w:rsid w:val="683B7691"/>
    <w:rsid w:val="6843372E"/>
    <w:rsid w:val="684D098A"/>
    <w:rsid w:val="685C5F4B"/>
    <w:rsid w:val="6864310B"/>
    <w:rsid w:val="68810F82"/>
    <w:rsid w:val="688E6599"/>
    <w:rsid w:val="68B946DC"/>
    <w:rsid w:val="68C7422F"/>
    <w:rsid w:val="68DC5DC3"/>
    <w:rsid w:val="68E66020"/>
    <w:rsid w:val="68EE57E1"/>
    <w:rsid w:val="68F35FCF"/>
    <w:rsid w:val="68F61032"/>
    <w:rsid w:val="69073DA0"/>
    <w:rsid w:val="690862EA"/>
    <w:rsid w:val="69090F4C"/>
    <w:rsid w:val="69291D0E"/>
    <w:rsid w:val="69450757"/>
    <w:rsid w:val="69545187"/>
    <w:rsid w:val="696139A9"/>
    <w:rsid w:val="69670F4A"/>
    <w:rsid w:val="698363AF"/>
    <w:rsid w:val="69954E2F"/>
    <w:rsid w:val="69A04A61"/>
    <w:rsid w:val="69AC5BA2"/>
    <w:rsid w:val="69B14C74"/>
    <w:rsid w:val="69D25D69"/>
    <w:rsid w:val="69DB12E7"/>
    <w:rsid w:val="69E37DEC"/>
    <w:rsid w:val="69EC5AC1"/>
    <w:rsid w:val="6A0C22E4"/>
    <w:rsid w:val="6A160893"/>
    <w:rsid w:val="6A4B5FD9"/>
    <w:rsid w:val="6A675200"/>
    <w:rsid w:val="6A7F3936"/>
    <w:rsid w:val="6A870DFD"/>
    <w:rsid w:val="6A8A2A22"/>
    <w:rsid w:val="6AAA6726"/>
    <w:rsid w:val="6AD36576"/>
    <w:rsid w:val="6AD5555E"/>
    <w:rsid w:val="6AD77B57"/>
    <w:rsid w:val="6AEE390E"/>
    <w:rsid w:val="6AFC04C8"/>
    <w:rsid w:val="6B133B75"/>
    <w:rsid w:val="6B1E061E"/>
    <w:rsid w:val="6B35377F"/>
    <w:rsid w:val="6B39619C"/>
    <w:rsid w:val="6B3F2DE2"/>
    <w:rsid w:val="6B3F631D"/>
    <w:rsid w:val="6B441808"/>
    <w:rsid w:val="6B580404"/>
    <w:rsid w:val="6B5E4E5C"/>
    <w:rsid w:val="6B65107E"/>
    <w:rsid w:val="6B711CCB"/>
    <w:rsid w:val="6B7A7024"/>
    <w:rsid w:val="6B860CB4"/>
    <w:rsid w:val="6B892397"/>
    <w:rsid w:val="6B8A1497"/>
    <w:rsid w:val="6B924F4E"/>
    <w:rsid w:val="6BA322D7"/>
    <w:rsid w:val="6BA94614"/>
    <w:rsid w:val="6BB173DA"/>
    <w:rsid w:val="6BB668F3"/>
    <w:rsid w:val="6BB763B3"/>
    <w:rsid w:val="6BC2121E"/>
    <w:rsid w:val="6BC34AC6"/>
    <w:rsid w:val="6BEB4E22"/>
    <w:rsid w:val="6BF2000D"/>
    <w:rsid w:val="6BF37008"/>
    <w:rsid w:val="6BF97C7F"/>
    <w:rsid w:val="6C1001D8"/>
    <w:rsid w:val="6C1636E3"/>
    <w:rsid w:val="6C2A600F"/>
    <w:rsid w:val="6C2B67BE"/>
    <w:rsid w:val="6C3116D0"/>
    <w:rsid w:val="6C38395C"/>
    <w:rsid w:val="6C4116A2"/>
    <w:rsid w:val="6C426A40"/>
    <w:rsid w:val="6C5C22D4"/>
    <w:rsid w:val="6C603995"/>
    <w:rsid w:val="6C620577"/>
    <w:rsid w:val="6C69527E"/>
    <w:rsid w:val="6C724A09"/>
    <w:rsid w:val="6C8A65F1"/>
    <w:rsid w:val="6C8B7D58"/>
    <w:rsid w:val="6C8F5218"/>
    <w:rsid w:val="6C9D572C"/>
    <w:rsid w:val="6CA14CA5"/>
    <w:rsid w:val="6CC71AFE"/>
    <w:rsid w:val="6CC75E40"/>
    <w:rsid w:val="6CD73716"/>
    <w:rsid w:val="6CE43CB2"/>
    <w:rsid w:val="6CF72425"/>
    <w:rsid w:val="6CFC01C0"/>
    <w:rsid w:val="6D231D77"/>
    <w:rsid w:val="6D266D53"/>
    <w:rsid w:val="6D26781D"/>
    <w:rsid w:val="6D2912AC"/>
    <w:rsid w:val="6D297394"/>
    <w:rsid w:val="6D4E0E9A"/>
    <w:rsid w:val="6D4F112E"/>
    <w:rsid w:val="6D6303A9"/>
    <w:rsid w:val="6D9C487E"/>
    <w:rsid w:val="6D9D6751"/>
    <w:rsid w:val="6DA56E23"/>
    <w:rsid w:val="6DB141CC"/>
    <w:rsid w:val="6DC0436F"/>
    <w:rsid w:val="6DD47F45"/>
    <w:rsid w:val="6DDD23C8"/>
    <w:rsid w:val="6DE9247B"/>
    <w:rsid w:val="6DEE4D5D"/>
    <w:rsid w:val="6E1934EC"/>
    <w:rsid w:val="6E1B6168"/>
    <w:rsid w:val="6E1F63C1"/>
    <w:rsid w:val="6E3F256E"/>
    <w:rsid w:val="6E5B4576"/>
    <w:rsid w:val="6E663ACB"/>
    <w:rsid w:val="6E871BCF"/>
    <w:rsid w:val="6E9E2624"/>
    <w:rsid w:val="6EA44500"/>
    <w:rsid w:val="6EB946EC"/>
    <w:rsid w:val="6EBA186E"/>
    <w:rsid w:val="6EBB4607"/>
    <w:rsid w:val="6ECC3692"/>
    <w:rsid w:val="6EE701F4"/>
    <w:rsid w:val="6EEA115A"/>
    <w:rsid w:val="6EF10759"/>
    <w:rsid w:val="6EF77EA9"/>
    <w:rsid w:val="6F0E79B8"/>
    <w:rsid w:val="6F31414A"/>
    <w:rsid w:val="6F3677AE"/>
    <w:rsid w:val="6F512FDA"/>
    <w:rsid w:val="6F5F02CC"/>
    <w:rsid w:val="6F5F3BC6"/>
    <w:rsid w:val="6F615B47"/>
    <w:rsid w:val="6F6E1906"/>
    <w:rsid w:val="6F6F221D"/>
    <w:rsid w:val="6F7D4E38"/>
    <w:rsid w:val="6FA97B76"/>
    <w:rsid w:val="6FAA33EF"/>
    <w:rsid w:val="6FB10B7C"/>
    <w:rsid w:val="6FB10EAC"/>
    <w:rsid w:val="6FB41094"/>
    <w:rsid w:val="6FC16AE2"/>
    <w:rsid w:val="6FC81181"/>
    <w:rsid w:val="6FCB7AE2"/>
    <w:rsid w:val="6FD16D68"/>
    <w:rsid w:val="6FE8515F"/>
    <w:rsid w:val="6FF23681"/>
    <w:rsid w:val="700F04E7"/>
    <w:rsid w:val="7023539D"/>
    <w:rsid w:val="702A1E81"/>
    <w:rsid w:val="703E5CFD"/>
    <w:rsid w:val="70411758"/>
    <w:rsid w:val="704225B9"/>
    <w:rsid w:val="705D28C4"/>
    <w:rsid w:val="705D7557"/>
    <w:rsid w:val="707C6377"/>
    <w:rsid w:val="708A258C"/>
    <w:rsid w:val="708C0C15"/>
    <w:rsid w:val="709B0552"/>
    <w:rsid w:val="709D62BC"/>
    <w:rsid w:val="70A739D9"/>
    <w:rsid w:val="70A86E71"/>
    <w:rsid w:val="70B02B4B"/>
    <w:rsid w:val="70B147D9"/>
    <w:rsid w:val="70BF5AF4"/>
    <w:rsid w:val="70C472ED"/>
    <w:rsid w:val="70D91347"/>
    <w:rsid w:val="70E71D00"/>
    <w:rsid w:val="70FC26EE"/>
    <w:rsid w:val="71086A99"/>
    <w:rsid w:val="71301D62"/>
    <w:rsid w:val="71321543"/>
    <w:rsid w:val="713B4779"/>
    <w:rsid w:val="714B548B"/>
    <w:rsid w:val="71997104"/>
    <w:rsid w:val="71BE57A3"/>
    <w:rsid w:val="71D93E8A"/>
    <w:rsid w:val="71DA24D7"/>
    <w:rsid w:val="71E63AE5"/>
    <w:rsid w:val="71ED55CA"/>
    <w:rsid w:val="72024E89"/>
    <w:rsid w:val="720E225F"/>
    <w:rsid w:val="722A4B34"/>
    <w:rsid w:val="722A4FD8"/>
    <w:rsid w:val="724B3C13"/>
    <w:rsid w:val="724E5497"/>
    <w:rsid w:val="72632F49"/>
    <w:rsid w:val="727C35A8"/>
    <w:rsid w:val="72805A6B"/>
    <w:rsid w:val="72812F5D"/>
    <w:rsid w:val="72817CC1"/>
    <w:rsid w:val="72D17CEA"/>
    <w:rsid w:val="72F54F07"/>
    <w:rsid w:val="72FC27F4"/>
    <w:rsid w:val="73015B3F"/>
    <w:rsid w:val="73196F4E"/>
    <w:rsid w:val="731B46F2"/>
    <w:rsid w:val="732452DD"/>
    <w:rsid w:val="734B58B6"/>
    <w:rsid w:val="73741D44"/>
    <w:rsid w:val="738103D3"/>
    <w:rsid w:val="7385028E"/>
    <w:rsid w:val="73863FE4"/>
    <w:rsid w:val="73A71330"/>
    <w:rsid w:val="73AD7DF0"/>
    <w:rsid w:val="73B01D18"/>
    <w:rsid w:val="73B64569"/>
    <w:rsid w:val="73D632BA"/>
    <w:rsid w:val="73E67832"/>
    <w:rsid w:val="73ED2F99"/>
    <w:rsid w:val="73F33F49"/>
    <w:rsid w:val="740020A1"/>
    <w:rsid w:val="74167F96"/>
    <w:rsid w:val="741B7106"/>
    <w:rsid w:val="74360A4B"/>
    <w:rsid w:val="743B401D"/>
    <w:rsid w:val="745127CA"/>
    <w:rsid w:val="746C2796"/>
    <w:rsid w:val="748B3D7F"/>
    <w:rsid w:val="749D4237"/>
    <w:rsid w:val="74A33613"/>
    <w:rsid w:val="74B048C7"/>
    <w:rsid w:val="74C473B6"/>
    <w:rsid w:val="74FC655B"/>
    <w:rsid w:val="74FE2D65"/>
    <w:rsid w:val="75360459"/>
    <w:rsid w:val="753E5B16"/>
    <w:rsid w:val="75430886"/>
    <w:rsid w:val="75632EBD"/>
    <w:rsid w:val="75654E49"/>
    <w:rsid w:val="75687711"/>
    <w:rsid w:val="756C40DA"/>
    <w:rsid w:val="75713A46"/>
    <w:rsid w:val="757F7766"/>
    <w:rsid w:val="759D44B2"/>
    <w:rsid w:val="75A06936"/>
    <w:rsid w:val="75F43E3C"/>
    <w:rsid w:val="75F60DE7"/>
    <w:rsid w:val="761B38C3"/>
    <w:rsid w:val="762914FB"/>
    <w:rsid w:val="76373B69"/>
    <w:rsid w:val="766E38E4"/>
    <w:rsid w:val="769563DE"/>
    <w:rsid w:val="76BD7A4E"/>
    <w:rsid w:val="76DB2093"/>
    <w:rsid w:val="76EF3B4C"/>
    <w:rsid w:val="76EF5A49"/>
    <w:rsid w:val="76F778E1"/>
    <w:rsid w:val="77005665"/>
    <w:rsid w:val="77047324"/>
    <w:rsid w:val="77053997"/>
    <w:rsid w:val="770812E8"/>
    <w:rsid w:val="770F3A4F"/>
    <w:rsid w:val="773069F9"/>
    <w:rsid w:val="77574EAB"/>
    <w:rsid w:val="77601D6B"/>
    <w:rsid w:val="776B7112"/>
    <w:rsid w:val="777A014E"/>
    <w:rsid w:val="778140D5"/>
    <w:rsid w:val="77822286"/>
    <w:rsid w:val="7782348B"/>
    <w:rsid w:val="778D2786"/>
    <w:rsid w:val="778F31C7"/>
    <w:rsid w:val="77BD514B"/>
    <w:rsid w:val="77BF2081"/>
    <w:rsid w:val="77E279D6"/>
    <w:rsid w:val="77E94AA6"/>
    <w:rsid w:val="77FC6440"/>
    <w:rsid w:val="77FD0961"/>
    <w:rsid w:val="78405C52"/>
    <w:rsid w:val="78451791"/>
    <w:rsid w:val="784C5B18"/>
    <w:rsid w:val="789B70A8"/>
    <w:rsid w:val="789D7232"/>
    <w:rsid w:val="78D201F0"/>
    <w:rsid w:val="79003D35"/>
    <w:rsid w:val="793462CA"/>
    <w:rsid w:val="793714B0"/>
    <w:rsid w:val="794A0637"/>
    <w:rsid w:val="795B0619"/>
    <w:rsid w:val="795C3567"/>
    <w:rsid w:val="796718E9"/>
    <w:rsid w:val="7975223B"/>
    <w:rsid w:val="7979580F"/>
    <w:rsid w:val="798718DB"/>
    <w:rsid w:val="798D7EA1"/>
    <w:rsid w:val="799D1E71"/>
    <w:rsid w:val="79A24E6A"/>
    <w:rsid w:val="79AA06B0"/>
    <w:rsid w:val="79B31A45"/>
    <w:rsid w:val="79CE33B7"/>
    <w:rsid w:val="79D54935"/>
    <w:rsid w:val="79D7628B"/>
    <w:rsid w:val="79DB0A90"/>
    <w:rsid w:val="79DB277C"/>
    <w:rsid w:val="79E9110F"/>
    <w:rsid w:val="79EF40EE"/>
    <w:rsid w:val="7A00183B"/>
    <w:rsid w:val="7A016952"/>
    <w:rsid w:val="7A2066B8"/>
    <w:rsid w:val="7A3F05ED"/>
    <w:rsid w:val="7A401675"/>
    <w:rsid w:val="7A6954B4"/>
    <w:rsid w:val="7AB26746"/>
    <w:rsid w:val="7ADB0685"/>
    <w:rsid w:val="7ADB2ADA"/>
    <w:rsid w:val="7B0F5855"/>
    <w:rsid w:val="7B2E0AA4"/>
    <w:rsid w:val="7B425546"/>
    <w:rsid w:val="7B4921DA"/>
    <w:rsid w:val="7B712D17"/>
    <w:rsid w:val="7BA267C8"/>
    <w:rsid w:val="7BBF4EBC"/>
    <w:rsid w:val="7BC65966"/>
    <w:rsid w:val="7BC72E42"/>
    <w:rsid w:val="7BD01932"/>
    <w:rsid w:val="7BE60252"/>
    <w:rsid w:val="7BFF2E19"/>
    <w:rsid w:val="7C0B1EEE"/>
    <w:rsid w:val="7C12301A"/>
    <w:rsid w:val="7C2723A0"/>
    <w:rsid w:val="7C2968BE"/>
    <w:rsid w:val="7C315C7E"/>
    <w:rsid w:val="7C3451D3"/>
    <w:rsid w:val="7C4A2908"/>
    <w:rsid w:val="7C5226C4"/>
    <w:rsid w:val="7C6223A3"/>
    <w:rsid w:val="7C6B58EF"/>
    <w:rsid w:val="7C7202A5"/>
    <w:rsid w:val="7C7901A9"/>
    <w:rsid w:val="7C7C0278"/>
    <w:rsid w:val="7C7D4FAA"/>
    <w:rsid w:val="7C874D81"/>
    <w:rsid w:val="7C883CBB"/>
    <w:rsid w:val="7C8C6ADD"/>
    <w:rsid w:val="7C992EAC"/>
    <w:rsid w:val="7CA25757"/>
    <w:rsid w:val="7CAF1F3A"/>
    <w:rsid w:val="7CB25850"/>
    <w:rsid w:val="7CF254B8"/>
    <w:rsid w:val="7CF76817"/>
    <w:rsid w:val="7D09068B"/>
    <w:rsid w:val="7D373FD6"/>
    <w:rsid w:val="7D39162A"/>
    <w:rsid w:val="7D444310"/>
    <w:rsid w:val="7D684CF9"/>
    <w:rsid w:val="7D873011"/>
    <w:rsid w:val="7D877D75"/>
    <w:rsid w:val="7D887EC7"/>
    <w:rsid w:val="7D8A5D4A"/>
    <w:rsid w:val="7D912647"/>
    <w:rsid w:val="7D924286"/>
    <w:rsid w:val="7D9242AB"/>
    <w:rsid w:val="7D936157"/>
    <w:rsid w:val="7DBA15FF"/>
    <w:rsid w:val="7DDD4524"/>
    <w:rsid w:val="7DE012FE"/>
    <w:rsid w:val="7DEF642C"/>
    <w:rsid w:val="7DF91A8B"/>
    <w:rsid w:val="7E027AA9"/>
    <w:rsid w:val="7E031AF8"/>
    <w:rsid w:val="7E0F0BAD"/>
    <w:rsid w:val="7E0F45C6"/>
    <w:rsid w:val="7E37255D"/>
    <w:rsid w:val="7E5F240E"/>
    <w:rsid w:val="7E6C3FEC"/>
    <w:rsid w:val="7E6F0211"/>
    <w:rsid w:val="7E71332F"/>
    <w:rsid w:val="7E7607AB"/>
    <w:rsid w:val="7E803CE8"/>
    <w:rsid w:val="7E84439E"/>
    <w:rsid w:val="7E946ACE"/>
    <w:rsid w:val="7E9A4747"/>
    <w:rsid w:val="7E9F17FE"/>
    <w:rsid w:val="7EB3166A"/>
    <w:rsid w:val="7EB70070"/>
    <w:rsid w:val="7ED122C0"/>
    <w:rsid w:val="7ED857F0"/>
    <w:rsid w:val="7EDA29F1"/>
    <w:rsid w:val="7EE402DD"/>
    <w:rsid w:val="7F1C1DA8"/>
    <w:rsid w:val="7F2130F6"/>
    <w:rsid w:val="7F350F62"/>
    <w:rsid w:val="7F373A2F"/>
    <w:rsid w:val="7F431DF0"/>
    <w:rsid w:val="7F4819BF"/>
    <w:rsid w:val="7F486290"/>
    <w:rsid w:val="7F685886"/>
    <w:rsid w:val="7F697875"/>
    <w:rsid w:val="7F7F6661"/>
    <w:rsid w:val="7F864F87"/>
    <w:rsid w:val="7F957850"/>
    <w:rsid w:val="7FA756AB"/>
    <w:rsid w:val="7FAD6BE7"/>
    <w:rsid w:val="7FC613EF"/>
    <w:rsid w:val="7FD43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line="360" w:lineRule="auto"/>
      <w:outlineLvl w:val="2"/>
    </w:pPr>
    <w:rPr>
      <w:b/>
      <w:sz w:val="24"/>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cs="Times New Roman"/>
      <w:b/>
      <w:sz w:val="28"/>
    </w:rPr>
  </w:style>
  <w:style w:type="paragraph" w:styleId="7">
    <w:name w:val="heading 5"/>
    <w:basedOn w:val="1"/>
    <w:next w:val="1"/>
    <w:unhideWhenUsed/>
    <w:qFormat/>
    <w:uiPriority w:val="9"/>
    <w:pPr>
      <w:keepNext/>
      <w:keepLines/>
      <w:numPr>
        <w:ilvl w:val="4"/>
        <w:numId w:val="1"/>
      </w:numPr>
      <w:spacing w:beforeLines="0" w:beforeAutospacing="0" w:afterLines="0" w:afterAutospacing="0" w:line="360" w:lineRule="auto"/>
      <w:ind w:left="3402" w:firstLine="0" w:firstLineChars="0"/>
      <w:outlineLvl w:val="4"/>
    </w:pPr>
    <w:rPr>
      <w:b/>
      <w:sz w:val="28"/>
    </w:rPr>
  </w:style>
  <w:style w:type="character" w:default="1" w:styleId="30">
    <w:name w:val="Default Paragraph Font"/>
    <w:semiHidden/>
    <w:qFormat/>
    <w:uiPriority w:val="0"/>
  </w:style>
  <w:style w:type="table" w:default="1" w:styleId="2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8">
    <w:name w:val="toc 7"/>
    <w:basedOn w:val="1"/>
    <w:next w:val="1"/>
    <w:qFormat/>
    <w:uiPriority w:val="0"/>
    <w:pPr>
      <w:ind w:left="2520" w:leftChars="1200"/>
    </w:pPr>
  </w:style>
  <w:style w:type="paragraph" w:styleId="9">
    <w:name w:val="Normal Indent"/>
    <w:basedOn w:val="1"/>
    <w:unhideWhenUsed/>
    <w:qFormat/>
    <w:uiPriority w:val="0"/>
    <w:pPr>
      <w:ind w:firstLine="480" w:firstLineChars="200"/>
    </w:pPr>
    <w:rPr>
      <w:sz w:val="28"/>
    </w:rPr>
  </w:style>
  <w:style w:type="paragraph" w:styleId="10">
    <w:name w:val="Body Text"/>
    <w:basedOn w:val="1"/>
    <w:next w:val="11"/>
    <w:unhideWhenUsed/>
    <w:qFormat/>
    <w:uiPriority w:val="99"/>
    <w:pPr>
      <w:adjustRightInd w:val="0"/>
      <w:snapToGrid w:val="0"/>
      <w:spacing w:after="120" w:line="360" w:lineRule="auto"/>
      <w:ind w:firstLine="200" w:firstLineChars="200"/>
    </w:pPr>
    <w:rPr>
      <w:rFonts w:ascii="Times New Roman" w:hAnsi="Times New Roman" w:eastAsia="仿宋_GB2312"/>
      <w:sz w:val="28"/>
      <w:szCs w:val="22"/>
    </w:rPr>
  </w:style>
  <w:style w:type="paragraph" w:styleId="11">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12">
    <w:name w:val="Body Text Indent"/>
    <w:basedOn w:val="1"/>
    <w:qFormat/>
    <w:uiPriority w:val="0"/>
    <w:pPr>
      <w:spacing w:after="120"/>
      <w:ind w:left="420" w:leftChars="200"/>
    </w:pPr>
    <w:rPr>
      <w:szCs w:val="20"/>
    </w:rPr>
  </w:style>
  <w:style w:type="paragraph" w:styleId="13">
    <w:name w:val="toc 5"/>
    <w:basedOn w:val="1"/>
    <w:next w:val="1"/>
    <w:qFormat/>
    <w:uiPriority w:val="0"/>
    <w:pPr>
      <w:ind w:left="1680" w:leftChars="800"/>
    </w:pPr>
  </w:style>
  <w:style w:type="paragraph" w:styleId="14">
    <w:name w:val="toc 3"/>
    <w:basedOn w:val="1"/>
    <w:next w:val="1"/>
    <w:qFormat/>
    <w:uiPriority w:val="0"/>
    <w:pPr>
      <w:ind w:left="840" w:leftChars="400"/>
    </w:pPr>
  </w:style>
  <w:style w:type="paragraph" w:styleId="15">
    <w:name w:val="Plain Text"/>
    <w:basedOn w:val="1"/>
    <w:unhideWhenUsed/>
    <w:qFormat/>
    <w:uiPriority w:val="99"/>
    <w:rPr>
      <w:rFonts w:ascii="宋体" w:hAnsi="Courier New"/>
    </w:rPr>
  </w:style>
  <w:style w:type="paragraph" w:styleId="16">
    <w:name w:val="toc 8"/>
    <w:basedOn w:val="1"/>
    <w:next w:val="1"/>
    <w:qFormat/>
    <w:uiPriority w:val="0"/>
    <w:pPr>
      <w:ind w:left="2940" w:leftChars="1400"/>
    </w:p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toc 1"/>
    <w:basedOn w:val="1"/>
    <w:next w:val="1"/>
    <w:qFormat/>
    <w:uiPriority w:val="0"/>
  </w:style>
  <w:style w:type="paragraph" w:styleId="20">
    <w:name w:val="toc 4"/>
    <w:basedOn w:val="1"/>
    <w:next w:val="1"/>
    <w:qFormat/>
    <w:uiPriority w:val="0"/>
    <w:pPr>
      <w:ind w:left="1260" w:leftChars="600"/>
    </w:pPr>
  </w:style>
  <w:style w:type="paragraph" w:styleId="21">
    <w:name w:val="toc 6"/>
    <w:basedOn w:val="1"/>
    <w:next w:val="1"/>
    <w:qFormat/>
    <w:uiPriority w:val="0"/>
    <w:pPr>
      <w:ind w:left="2100" w:leftChars="1000"/>
    </w:pPr>
  </w:style>
  <w:style w:type="paragraph" w:styleId="22">
    <w:name w:val="toc 2"/>
    <w:basedOn w:val="1"/>
    <w:next w:val="1"/>
    <w:qFormat/>
    <w:uiPriority w:val="0"/>
    <w:pPr>
      <w:ind w:left="420" w:leftChars="200"/>
    </w:pPr>
  </w:style>
  <w:style w:type="paragraph" w:styleId="23">
    <w:name w:val="toc 9"/>
    <w:basedOn w:val="1"/>
    <w:next w:val="1"/>
    <w:qFormat/>
    <w:uiPriority w:val="0"/>
    <w:pPr>
      <w:ind w:left="3360" w:leftChars="1600"/>
    </w:pPr>
  </w:style>
  <w:style w:type="paragraph" w:styleId="24">
    <w:name w:val="Body Text 2"/>
    <w:basedOn w:val="1"/>
    <w:qFormat/>
    <w:uiPriority w:val="0"/>
    <w:pPr>
      <w:keepLines/>
      <w:widowControl/>
    </w:pPr>
    <w:rPr>
      <w:i/>
      <w:snapToGrid w:val="0"/>
      <w:kern w:val="0"/>
      <w:sz w:val="20"/>
      <w:szCs w:val="20"/>
      <w:lang w:eastAsia="en-US"/>
    </w:rPr>
  </w:style>
  <w:style w:type="paragraph" w:styleId="2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6">
    <w:name w:val="Body Text First Indent"/>
    <w:basedOn w:val="10"/>
    <w:next w:val="1"/>
    <w:qFormat/>
    <w:uiPriority w:val="0"/>
    <w:pPr>
      <w:spacing w:after="120" w:line="240" w:lineRule="auto"/>
      <w:ind w:firstLine="420" w:firstLineChars="100"/>
      <w:jc w:val="both"/>
    </w:pPr>
    <w:rPr>
      <w:rFonts w:ascii="Arial" w:hAnsi="Arial"/>
      <w:sz w:val="21"/>
      <w:szCs w:val="24"/>
    </w:rPr>
  </w:style>
  <w:style w:type="paragraph" w:styleId="27">
    <w:name w:val="Body Text First Indent 2"/>
    <w:basedOn w:val="12"/>
    <w:next w:val="1"/>
    <w:qFormat/>
    <w:uiPriority w:val="0"/>
    <w:pPr>
      <w:spacing w:before="100" w:beforeAutospacing="1" w:after="0"/>
      <w:ind w:firstLine="420" w:firstLineChars="200"/>
    </w:pPr>
  </w:style>
  <w:style w:type="table" w:styleId="29">
    <w:name w:val="Table Grid"/>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Emphasis"/>
    <w:basedOn w:val="30"/>
    <w:qFormat/>
    <w:uiPriority w:val="20"/>
    <w:rPr>
      <w:i/>
      <w:iCs/>
    </w:rPr>
  </w:style>
  <w:style w:type="character" w:styleId="32">
    <w:name w:val="Hyperlink"/>
    <w:basedOn w:val="30"/>
    <w:qFormat/>
    <w:uiPriority w:val="0"/>
    <w:rPr>
      <w:color w:val="0000FF"/>
      <w:u w:val="single"/>
    </w:rPr>
  </w:style>
  <w:style w:type="paragraph" w:customStyle="1" w:styleId="33">
    <w:name w:val="List Paragraph"/>
    <w:basedOn w:val="1"/>
    <w:unhideWhenUsed/>
    <w:qFormat/>
    <w:uiPriority w:val="99"/>
    <w:pPr>
      <w:ind w:firstLine="420" w:firstLineChars="200"/>
    </w:pPr>
  </w:style>
  <w:style w:type="character" w:customStyle="1" w:styleId="34">
    <w:name w:val="wenben"/>
    <w:basedOn w:val="30"/>
    <w:qFormat/>
    <w:uiPriority w:val="0"/>
  </w:style>
  <w:style w:type="paragraph" w:customStyle="1" w:styleId="35">
    <w:name w:val="_Style 3"/>
    <w:basedOn w:val="1"/>
    <w:unhideWhenUsed/>
    <w:qFormat/>
    <w:uiPriority w:val="99"/>
    <w:pPr>
      <w:ind w:firstLine="420" w:firstLineChars="200"/>
    </w:pPr>
  </w:style>
  <w:style w:type="paragraph" w:customStyle="1" w:styleId="36">
    <w:name w:val="Table Paragraph"/>
    <w:basedOn w:val="1"/>
    <w:qFormat/>
    <w:uiPriority w:val="1"/>
    <w:rPr>
      <w:rFonts w:ascii="宋体" w:hAnsi="宋体" w:eastAsia="宋体" w:cs="宋体"/>
      <w:lang w:val="en-US" w:eastAsia="zh-CN" w:bidi="ar-SA"/>
    </w:rPr>
  </w:style>
  <w:style w:type="table" w:customStyle="1" w:styleId="37">
    <w:name w:val="Table Normal"/>
    <w:semiHidden/>
    <w:unhideWhenUsed/>
    <w:qFormat/>
    <w:uiPriority w:val="0"/>
    <w:tblPr>
      <w:tblCellMar>
        <w:top w:w="0" w:type="dxa"/>
        <w:left w:w="0" w:type="dxa"/>
        <w:bottom w:w="0" w:type="dxa"/>
        <w:right w:w="0" w:type="dxa"/>
      </w:tblCellMar>
    </w:tblPr>
  </w:style>
  <w:style w:type="paragraph" w:customStyle="1" w:styleId="38">
    <w:name w:val="AT-正文"/>
    <w:basedOn w:val="1"/>
    <w:qFormat/>
    <w:uiPriority w:val="0"/>
    <w:rPr>
      <w:rFonts w:ascii="仿宋" w:hAnsi="仿宋" w:cs="Times New Roman"/>
      <w:kern w:val="2"/>
      <w:szCs w:val="24"/>
      <w:lang w:eastAsia="zh-CN"/>
    </w:rPr>
  </w:style>
  <w:style w:type="paragraph" w:customStyle="1" w:styleId="39">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云南省水利厅</Company>
  <Pages>69</Pages>
  <Words>10827</Words>
  <Characters>11958</Characters>
  <Lines>0</Lines>
  <Paragraphs>0</Paragraphs>
  <TotalTime>19</TotalTime>
  <ScaleCrop>false</ScaleCrop>
  <LinksUpToDate>false</LinksUpToDate>
  <CharactersWithSpaces>12112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2021-09-07T07:38:00Z</dcterms:created>
  <dc:creator>Administrator</dc:creator>
  <cp:lastModifiedBy>F.K</cp:lastModifiedBy>
  <dcterms:modified xsi:type="dcterms:W3CDTF">2025-04-28T06:57:06Z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8F47C9C57B864440BA031D6415239051_13</vt:lpwstr>
  </property>
  <property fmtid="{D5CDD505-2E9C-101B-9397-08002B2CF9AE}" pid="4" name="KSOTemplateDocerSaveRecord">
    <vt:lpwstr>eyJoZGlkIjoiZmNmM2Y3MTdkMmUxMzNmYmJkMWE3ZGExZDEyZmYzMDEiLCJ1c2VySWQiOiI0NTM1MDUxNDkifQ==</vt:lpwstr>
  </property>
</Properties>
</file>