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49A3D">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方正仿宋_GBK" w:cs="方正仿宋_GBK"/>
          <w:kern w:val="2"/>
          <w:sz w:val="32"/>
          <w:szCs w:val="32"/>
          <w:lang w:val="en-US" w:eastAsia="zh-CN" w:bidi="ar-SA"/>
        </w:rPr>
      </w:pPr>
      <w:bookmarkStart w:id="0" w:name="_GoBack"/>
      <w:bookmarkEnd w:id="0"/>
      <w:r>
        <w:rPr>
          <w:rFonts w:hint="eastAsia" w:ascii="黑体" w:hAnsi="黑体" w:eastAsia="黑体" w:cs="黑体"/>
          <w:kern w:val="2"/>
          <w:sz w:val="32"/>
          <w:szCs w:val="32"/>
          <w:lang w:val="en-US" w:eastAsia="zh-CN" w:bidi="ar-SA"/>
        </w:rPr>
        <w:t>附件</w:t>
      </w:r>
    </w:p>
    <w:p w14:paraId="0E155DFB">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方正仿宋_GBK" w:cs="方正仿宋_GBK"/>
          <w:kern w:val="2"/>
          <w:sz w:val="32"/>
          <w:szCs w:val="32"/>
          <w:lang w:val="en-US" w:eastAsia="zh-CN" w:bidi="ar-SA"/>
        </w:rPr>
      </w:pPr>
      <w:r>
        <w:rPr>
          <w:rFonts w:hint="default" w:ascii="宋体" w:hAnsi="宋体" w:eastAsia="方正仿宋_GBK" w:cs="方正仿宋_GBK"/>
          <w:kern w:val="2"/>
          <w:sz w:val="32"/>
          <w:szCs w:val="32"/>
          <w:lang w:val="en-US" w:eastAsia="zh-CN" w:bidi="ar-SA"/>
        </w:rPr>
        <w:t>红河州大屯海非法捕鱼等4个问题整改销号信息公开表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3708"/>
        <w:gridCol w:w="1507"/>
        <w:gridCol w:w="2061"/>
        <w:gridCol w:w="3519"/>
        <w:gridCol w:w="2363"/>
      </w:tblGrid>
      <w:tr w14:paraId="5280F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016" w:type="dxa"/>
            <w:vAlign w:val="center"/>
          </w:tcPr>
          <w:p w14:paraId="483106B9">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仿宋" w:cs="Arial Unicode MS"/>
                <w:b/>
                <w:bCs/>
                <w:sz w:val="32"/>
                <w:szCs w:val="22"/>
                <w:lang w:val="en-US" w:eastAsia="zh-CN" w:bidi="zh-CN"/>
              </w:rPr>
            </w:pPr>
            <w:r>
              <w:rPr>
                <w:rFonts w:hint="eastAsia" w:ascii="宋体" w:hAnsi="宋体"/>
                <w:b/>
                <w:bCs/>
                <w:vertAlign w:val="baseline"/>
                <w:lang w:val="en-US" w:eastAsia="zh-CN"/>
              </w:rPr>
              <w:t>序号</w:t>
            </w:r>
          </w:p>
        </w:tc>
        <w:tc>
          <w:tcPr>
            <w:tcW w:w="3708" w:type="dxa"/>
            <w:vAlign w:val="center"/>
          </w:tcPr>
          <w:p w14:paraId="335A6BF8">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仿宋"/>
                <w:b/>
                <w:bCs/>
                <w:vertAlign w:val="baseline"/>
                <w:lang w:val="en-US" w:eastAsia="zh-CN"/>
              </w:rPr>
            </w:pPr>
            <w:r>
              <w:rPr>
                <w:rFonts w:hint="eastAsia" w:ascii="宋体" w:hAnsi="宋体"/>
                <w:b/>
                <w:bCs/>
                <w:vertAlign w:val="baseline"/>
                <w:lang w:val="en-US" w:eastAsia="zh-CN"/>
              </w:rPr>
              <w:t>移交问题</w:t>
            </w:r>
          </w:p>
        </w:tc>
        <w:tc>
          <w:tcPr>
            <w:tcW w:w="1507" w:type="dxa"/>
            <w:vAlign w:val="center"/>
          </w:tcPr>
          <w:p w14:paraId="18094464">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仿宋"/>
                <w:b/>
                <w:bCs/>
                <w:vertAlign w:val="baseline"/>
                <w:lang w:val="en-US" w:eastAsia="zh-CN"/>
              </w:rPr>
            </w:pPr>
            <w:r>
              <w:rPr>
                <w:rFonts w:hint="eastAsia" w:ascii="宋体" w:hAnsi="宋体"/>
                <w:b/>
                <w:bCs/>
                <w:vertAlign w:val="baseline"/>
                <w:lang w:val="en-US" w:eastAsia="zh-CN"/>
              </w:rPr>
              <w:t>责任单位</w:t>
            </w:r>
          </w:p>
        </w:tc>
        <w:tc>
          <w:tcPr>
            <w:tcW w:w="2061" w:type="dxa"/>
            <w:vAlign w:val="center"/>
          </w:tcPr>
          <w:p w14:paraId="2976F0EF">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宋体" w:hAnsi="宋体" w:eastAsia="仿宋"/>
                <w:b/>
                <w:bCs/>
                <w:vertAlign w:val="baseline"/>
                <w:lang w:val="en-US" w:eastAsia="zh-CN"/>
              </w:rPr>
            </w:pPr>
            <w:r>
              <w:rPr>
                <w:rFonts w:hint="eastAsia" w:ascii="宋体" w:hAnsi="宋体"/>
                <w:b/>
                <w:bCs/>
                <w:vertAlign w:val="baseline"/>
                <w:lang w:val="en-US" w:eastAsia="zh-CN"/>
              </w:rPr>
              <w:t>整改目标</w:t>
            </w:r>
          </w:p>
        </w:tc>
        <w:tc>
          <w:tcPr>
            <w:tcW w:w="3519" w:type="dxa"/>
            <w:vAlign w:val="center"/>
          </w:tcPr>
          <w:p w14:paraId="40C5EA42">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宋体" w:hAnsi="宋体" w:eastAsia="仿宋"/>
                <w:b/>
                <w:bCs/>
                <w:vertAlign w:val="baseline"/>
                <w:lang w:val="en-US" w:eastAsia="zh-CN"/>
              </w:rPr>
            </w:pPr>
            <w:r>
              <w:rPr>
                <w:rFonts w:hint="eastAsia" w:ascii="宋体" w:hAnsi="宋体"/>
                <w:b/>
                <w:bCs/>
                <w:vertAlign w:val="baseline"/>
                <w:lang w:val="en-US" w:eastAsia="zh-CN"/>
              </w:rPr>
              <w:t>整改措施</w:t>
            </w:r>
          </w:p>
        </w:tc>
        <w:tc>
          <w:tcPr>
            <w:tcW w:w="2363" w:type="dxa"/>
            <w:vAlign w:val="center"/>
          </w:tcPr>
          <w:p w14:paraId="49EB2631">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宋体" w:hAnsi="宋体" w:eastAsia="仿宋"/>
                <w:b/>
                <w:bCs/>
                <w:vertAlign w:val="baseline"/>
                <w:lang w:val="en-US" w:eastAsia="zh-CN"/>
              </w:rPr>
            </w:pPr>
            <w:r>
              <w:rPr>
                <w:rFonts w:hint="eastAsia" w:ascii="宋体" w:hAnsi="宋体"/>
                <w:b/>
                <w:bCs/>
                <w:vertAlign w:val="baseline"/>
                <w:lang w:val="en-US" w:eastAsia="zh-CN"/>
              </w:rPr>
              <w:t>整改情况</w:t>
            </w:r>
          </w:p>
        </w:tc>
      </w:tr>
      <w:tr w14:paraId="65587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4" w:hRule="atLeast"/>
        </w:trPr>
        <w:tc>
          <w:tcPr>
            <w:tcW w:w="1016" w:type="dxa"/>
            <w:vAlign w:val="center"/>
          </w:tcPr>
          <w:p w14:paraId="200AAE93">
            <w:pPr>
              <w:jc w:val="center"/>
              <w:rPr>
                <w:rFonts w:hint="eastAsia" w:ascii="宋体" w:hAnsi="宋体" w:eastAsia="仿宋"/>
                <w:vertAlign w:val="baseline"/>
                <w:lang w:val="en-US" w:eastAsia="zh-CN"/>
              </w:rPr>
            </w:pPr>
            <w:r>
              <w:rPr>
                <w:rFonts w:hint="eastAsia" w:ascii="宋体" w:hAnsi="宋体"/>
                <w:vertAlign w:val="baseline"/>
                <w:lang w:val="en-US" w:eastAsia="zh-CN"/>
              </w:rPr>
              <w:t>1</w:t>
            </w:r>
          </w:p>
        </w:tc>
        <w:tc>
          <w:tcPr>
            <w:tcW w:w="3708" w:type="dxa"/>
            <w:vAlign w:val="center"/>
          </w:tcPr>
          <w:p w14:paraId="1A2B7F04">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ascii="宋体" w:hAnsi="宋体"/>
                <w:sz w:val="24"/>
                <w:szCs w:val="20"/>
                <w:vertAlign w:val="baseline"/>
              </w:rPr>
            </w:pPr>
            <w:r>
              <w:rPr>
                <w:rFonts w:hint="eastAsia" w:ascii="宋体" w:hAnsi="宋体"/>
                <w:sz w:val="24"/>
                <w:szCs w:val="20"/>
                <w:vertAlign w:val="baseline"/>
              </w:rPr>
              <w:t>《红河州大屯海长桥海三角海保护管理条例》规定，一级保护区内禁止围网、围栏、围湖养殖，擅自使用燃油机动船舶等行为。其管理条例实施办法规定，每年11月1日至次年7月31日为禁渔期。2023年6月现场调查发现，大屯海一级保护区长期有45艘燃油机动船只进入库区捕鱼作业并有捕鱼迷魂网650余张、网箱350余个、地笼网600余个。</w:t>
            </w:r>
          </w:p>
        </w:tc>
        <w:tc>
          <w:tcPr>
            <w:tcW w:w="1507" w:type="dxa"/>
            <w:vAlign w:val="center"/>
          </w:tcPr>
          <w:p w14:paraId="200FCE07">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rPr>
                <w:rFonts w:hint="default" w:ascii="宋体" w:hAnsi="宋体"/>
                <w:vertAlign w:val="baseline"/>
                <w:lang w:val="en-US" w:eastAsia="zh-CN"/>
              </w:rPr>
            </w:pPr>
            <w:r>
              <w:rPr>
                <w:rFonts w:hint="eastAsia" w:ascii="宋体" w:hAnsi="宋体"/>
                <w:sz w:val="24"/>
                <w:szCs w:val="20"/>
                <w:vertAlign w:val="baseline"/>
                <w:lang w:val="en-US" w:eastAsia="zh-CN"/>
              </w:rPr>
              <w:t>红河州人民政府</w:t>
            </w:r>
          </w:p>
        </w:tc>
        <w:tc>
          <w:tcPr>
            <w:tcW w:w="2061" w:type="dxa"/>
            <w:vAlign w:val="center"/>
          </w:tcPr>
          <w:p w14:paraId="5E8261BB">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vertAlign w:val="baseline"/>
                <w:lang w:val="en-US" w:eastAsia="zh-CN"/>
              </w:rPr>
            </w:pPr>
            <w:r>
              <w:rPr>
                <w:rFonts w:hint="eastAsia" w:ascii="宋体" w:hAnsi="宋体"/>
                <w:sz w:val="24"/>
                <w:szCs w:val="20"/>
                <w:vertAlign w:val="baseline"/>
                <w:lang w:val="en-US" w:eastAsia="zh-CN"/>
              </w:rPr>
              <w:t>贯彻落实《红河州大屯海长桥海三角海保护管理条例》，加强大屯海一级保护区巡查管控，巩固好大屯海各类渔网、网箱清理整治成果。</w:t>
            </w:r>
          </w:p>
        </w:tc>
        <w:tc>
          <w:tcPr>
            <w:tcW w:w="3519" w:type="dxa"/>
            <w:vAlign w:val="center"/>
          </w:tcPr>
          <w:p w14:paraId="341A350E">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rPr>
                <w:rFonts w:hint="eastAsia" w:ascii="宋体" w:hAnsi="宋体"/>
                <w:vertAlign w:val="baseline"/>
                <w:lang w:val="en-US" w:eastAsia="zh-CN"/>
              </w:rPr>
            </w:pPr>
            <w:r>
              <w:rPr>
                <w:rFonts w:hint="eastAsia" w:ascii="宋体" w:hAnsi="宋体"/>
                <w:sz w:val="24"/>
                <w:szCs w:val="20"/>
                <w:vertAlign w:val="baseline"/>
                <w:lang w:val="en-US" w:eastAsia="zh-CN"/>
              </w:rPr>
              <w:t>一是强化联合执法，由州三海管理局牵头，个旧市、蒙自市配合，对照《红河州大屯海长桥海三角海保护管理条例》及《红河州大屯海长桥海三角海保护管理条例实施办法》对大屯海一、二级保护区开展全面排查整治，对违法违规问题开展联合执法，加强禁渔期管理，严肃查处非法捕捞行为，规范相关船只管理，2024年6月底前完成发现问题整治。二是加大教育宣传工作力度，采取多种形式不定期宣传《红河州大屯海长桥海三角海保护管理条例》及《红河州大屯海长桥海三角海保护管理条例实施办法》。</w:t>
            </w:r>
          </w:p>
        </w:tc>
        <w:tc>
          <w:tcPr>
            <w:tcW w:w="2363" w:type="dxa"/>
            <w:vAlign w:val="center"/>
          </w:tcPr>
          <w:p w14:paraId="4E1E93E8">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sz w:val="24"/>
                <w:szCs w:val="20"/>
                <w:vertAlign w:val="baseline"/>
                <w:lang w:val="en-US" w:eastAsia="zh-CN"/>
              </w:rPr>
            </w:pPr>
            <w:r>
              <w:rPr>
                <w:rFonts w:hint="eastAsia" w:ascii="宋体" w:hAnsi="宋体"/>
                <w:sz w:val="24"/>
                <w:szCs w:val="20"/>
                <w:vertAlign w:val="baseline"/>
                <w:lang w:val="en-US" w:eastAsia="zh-CN"/>
              </w:rPr>
              <w:t>整改方案明确的整改措施、整改目标均已完成。</w:t>
            </w:r>
          </w:p>
          <w:p w14:paraId="69D44C6B">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vertAlign w:val="baseline"/>
                <w:lang w:val="en-US" w:eastAsia="zh-CN"/>
              </w:rPr>
            </w:pPr>
            <w:r>
              <w:rPr>
                <w:rFonts w:hint="eastAsia" w:ascii="宋体" w:hAnsi="宋体"/>
                <w:sz w:val="24"/>
                <w:szCs w:val="20"/>
                <w:vertAlign w:val="baseline"/>
                <w:lang w:val="en-US" w:eastAsia="zh-CN"/>
              </w:rPr>
              <w:t>大屯海一级保护区内已无网箱、地笼、迷魂网等渔业养殖、捕捞设施设备，除经审批允许进入的巡逻、打捞管理用船外，已无机动、非机动船只进入大屯海。</w:t>
            </w:r>
          </w:p>
        </w:tc>
      </w:tr>
      <w:tr w14:paraId="0E290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1016" w:type="dxa"/>
            <w:vAlign w:val="center"/>
          </w:tcPr>
          <w:p w14:paraId="6AB87D28">
            <w:pPr>
              <w:jc w:val="center"/>
              <w:rPr>
                <w:rFonts w:hint="eastAsia" w:ascii="宋体" w:hAnsi="宋体" w:eastAsia="仿宋"/>
                <w:vertAlign w:val="baseline"/>
                <w:lang w:val="en-US" w:eastAsia="zh-CN"/>
              </w:rPr>
            </w:pPr>
            <w:r>
              <w:rPr>
                <w:rFonts w:hint="eastAsia" w:ascii="宋体" w:hAnsi="宋体"/>
                <w:vertAlign w:val="baseline"/>
                <w:lang w:val="en-US" w:eastAsia="zh-CN"/>
              </w:rPr>
              <w:t>2</w:t>
            </w:r>
          </w:p>
        </w:tc>
        <w:tc>
          <w:tcPr>
            <w:tcW w:w="3708" w:type="dxa"/>
            <w:vAlign w:val="center"/>
          </w:tcPr>
          <w:p w14:paraId="2918A57D">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ascii="宋体" w:hAnsi="宋体"/>
                <w:vertAlign w:val="baseline"/>
              </w:rPr>
            </w:pPr>
            <w:r>
              <w:rPr>
                <w:rFonts w:hint="eastAsia" w:ascii="宋体" w:hAnsi="宋体"/>
                <w:sz w:val="24"/>
                <w:szCs w:val="20"/>
                <w:vertAlign w:val="baseline"/>
              </w:rPr>
              <w:t>《水利部关于河道采砂管理工作的指导意见》《云南省水利厅关于加强河道采砂管理工作的实施意见》均明确规定，因河道清淤采砂的，应当编制采砂可行性论证报告。2023年5月现场调查发现，2019年以来，临沧市在未编制采砂可行性论证报告的情况下，先后在南汀河禁采区内设置了30个清淤疏浚点，年计划清淤采砂量高达208万立方米，相当于可采区采砂量70%，现场砂石料沿河堆积如山，名为清淤疏浚、实为出让河道采砂经营权。进一步调查发现，禁采区内83%的清淤采砂点位于国家级水产种质资源保护区南汀河干流核心区内，导致部分河道及岸线被侵占破坏，对河流生态以及河势造成影响。耿马县众森砂业公司等企业超宽超深挖砂取料，众森砂业公司石膏山下段在禁采期内违规采砂作业。耿马县还违反《风景名胜区条例》相关规定，在南汀河省级风景名胜区内以河道清淤名义设置4处采砂点。</w:t>
            </w:r>
          </w:p>
        </w:tc>
        <w:tc>
          <w:tcPr>
            <w:tcW w:w="1507" w:type="dxa"/>
            <w:shd w:val="clear" w:color="auto" w:fill="auto"/>
            <w:vAlign w:val="center"/>
          </w:tcPr>
          <w:p w14:paraId="7D8A5525">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rPr>
                <w:rFonts w:hint="default" w:ascii="宋体" w:hAnsi="宋体" w:eastAsia="仿宋" w:cs="Arial Unicode MS"/>
                <w:sz w:val="32"/>
                <w:szCs w:val="22"/>
                <w:vertAlign w:val="baseline"/>
                <w:lang w:val="en-US" w:eastAsia="zh-CN" w:bidi="zh-CN"/>
              </w:rPr>
            </w:pPr>
            <w:r>
              <w:rPr>
                <w:rFonts w:hint="eastAsia" w:ascii="宋体" w:hAnsi="宋体"/>
                <w:sz w:val="24"/>
                <w:szCs w:val="20"/>
                <w:vertAlign w:val="baseline"/>
                <w:lang w:val="en-US" w:eastAsia="zh-CN"/>
              </w:rPr>
              <w:t>临沧市人民政府</w:t>
            </w:r>
          </w:p>
        </w:tc>
        <w:tc>
          <w:tcPr>
            <w:tcW w:w="2061" w:type="dxa"/>
            <w:vAlign w:val="center"/>
          </w:tcPr>
          <w:p w14:paraId="0F3DA523">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ascii="宋体" w:hAnsi="宋体"/>
                <w:vertAlign w:val="baseline"/>
              </w:rPr>
            </w:pPr>
            <w:r>
              <w:rPr>
                <w:rFonts w:hint="eastAsia" w:ascii="宋体" w:hAnsi="宋体"/>
                <w:sz w:val="24"/>
                <w:szCs w:val="20"/>
                <w:vertAlign w:val="baseline"/>
              </w:rPr>
              <w:t>取缔南汀河禁采区内违法采砂场点，依法全面规范临沧市疏浚砂综合利用管理，确保河势稳定和防洪安全、生态安全、航运安全、重要基础设施安全。</w:t>
            </w:r>
          </w:p>
        </w:tc>
        <w:tc>
          <w:tcPr>
            <w:tcW w:w="3519" w:type="dxa"/>
            <w:shd w:val="clear" w:color="auto" w:fill="auto"/>
            <w:vAlign w:val="center"/>
          </w:tcPr>
          <w:p w14:paraId="3769347E">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eastAsia" w:ascii="宋体" w:hAnsi="宋体"/>
                <w:sz w:val="24"/>
                <w:szCs w:val="20"/>
                <w:vertAlign w:val="baseline"/>
              </w:rPr>
            </w:pPr>
            <w:r>
              <w:rPr>
                <w:rFonts w:hint="eastAsia" w:ascii="宋体" w:hAnsi="宋体"/>
                <w:sz w:val="24"/>
                <w:szCs w:val="20"/>
                <w:vertAlign w:val="baseline"/>
              </w:rPr>
              <w:t>一是2024年6月底前开展河道采砂突出问题集中整治专项行动，坚决、彻底、全面整治全市河道采砂管理混乱、砂料侵占河道、采砂设备占用河道等问题，拆除设施、设备，清理河道管理范围内砂石料，对河堤岸线进行修复治理，恢复自然河道。二是按照水利部</w:t>
            </w:r>
            <w:r>
              <w:rPr>
                <w:rFonts w:hint="eastAsia" w:ascii="宋体" w:hAnsi="宋体"/>
                <w:sz w:val="24"/>
                <w:szCs w:val="20"/>
                <w:vertAlign w:val="baseline"/>
                <w:lang w:val="en"/>
              </w:rPr>
              <w:t>有关</w:t>
            </w:r>
            <w:r>
              <w:rPr>
                <w:rFonts w:hint="eastAsia" w:ascii="宋体" w:hAnsi="宋体"/>
                <w:sz w:val="24"/>
                <w:szCs w:val="20"/>
                <w:vertAlign w:val="baseline"/>
              </w:rPr>
              <w:t>文件和《云南省水利厅关于进一步加强河道采砂管理工作的通知》《云南省水利厅关于加强疏浚砂综合利用管理工作的指导意见》及《临沧市河道采砂管理条例》等相关规定，严格采砂管理，规范疏浚砂综合利用管理。三是2024年8月底前对耿马县众森砂业公司等企业超宽超深挖砂取料、在禁采期内违规采砂作业问题依法进行查处，开展河道采砂行政执法专项行动，严肃查处非法采砂行为。</w:t>
            </w:r>
          </w:p>
          <w:p w14:paraId="41753470">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ascii="宋体" w:hAnsi="宋体" w:eastAsia="仿宋" w:cs="Arial Unicode MS"/>
                <w:sz w:val="32"/>
                <w:szCs w:val="22"/>
                <w:vertAlign w:val="baseline"/>
                <w:lang w:val="zh-CN" w:eastAsia="zh-CN" w:bidi="zh-CN"/>
              </w:rPr>
            </w:pPr>
            <w:r>
              <w:rPr>
                <w:rFonts w:hint="eastAsia" w:ascii="宋体" w:hAnsi="宋体"/>
                <w:sz w:val="24"/>
                <w:szCs w:val="20"/>
                <w:vertAlign w:val="baseline"/>
              </w:rPr>
              <w:t>四是对有采砂任务的河湖，逐一公告河道采砂管理“四个责任人”，接受社会监督，建立河长挂帅、水利部门牵头、</w:t>
            </w:r>
            <w:r>
              <w:rPr>
                <w:rFonts w:hint="eastAsia" w:ascii="宋体" w:hAnsi="宋体"/>
                <w:sz w:val="24"/>
                <w:szCs w:val="20"/>
                <w:vertAlign w:val="baseline"/>
                <w:lang w:val="en"/>
              </w:rPr>
              <w:t>有关</w:t>
            </w:r>
            <w:r>
              <w:rPr>
                <w:rFonts w:hint="eastAsia" w:ascii="宋体" w:hAnsi="宋体"/>
                <w:sz w:val="24"/>
                <w:szCs w:val="20"/>
                <w:vertAlign w:val="baseline"/>
              </w:rPr>
              <w:t>部门协同、社会监督的采砂管理联动机制。</w:t>
            </w:r>
          </w:p>
        </w:tc>
        <w:tc>
          <w:tcPr>
            <w:tcW w:w="2363" w:type="dxa"/>
            <w:shd w:val="clear" w:color="auto" w:fill="auto"/>
            <w:vAlign w:val="center"/>
          </w:tcPr>
          <w:p w14:paraId="20ECC4D6">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sz w:val="24"/>
                <w:szCs w:val="20"/>
                <w:vertAlign w:val="baseline"/>
              </w:rPr>
            </w:pPr>
            <w:r>
              <w:rPr>
                <w:rFonts w:hint="eastAsia" w:ascii="宋体" w:hAnsi="宋体"/>
                <w:sz w:val="24"/>
                <w:szCs w:val="20"/>
                <w:vertAlign w:val="baseline"/>
              </w:rPr>
              <w:t>整改方案明确的整改措施、整改目标均已完成。</w:t>
            </w:r>
          </w:p>
          <w:p w14:paraId="4293A61E">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ascii="宋体" w:hAnsi="宋体" w:eastAsia="仿宋" w:cs="Arial Unicode MS"/>
                <w:sz w:val="32"/>
                <w:szCs w:val="22"/>
                <w:vertAlign w:val="baseline"/>
                <w:lang w:val="zh-CN" w:eastAsia="zh-CN" w:bidi="zh-CN"/>
              </w:rPr>
            </w:pPr>
            <w:r>
              <w:rPr>
                <w:rFonts w:hint="eastAsia" w:ascii="宋体" w:hAnsi="宋体"/>
                <w:sz w:val="24"/>
                <w:szCs w:val="20"/>
                <w:vertAlign w:val="baseline"/>
              </w:rPr>
              <w:t>南汀河禁采区非法清淤疏浚点排查整治已完成，全市河道采砂突出问题集中整治专项行动已完成，全市共整治点位125个，共清运非法占用河道管理范围内砂石料251.4万立方米，移除河道管理范围内生产加工设备61台，拆解采砂机具74套，修复河道88段。</w:t>
            </w:r>
          </w:p>
        </w:tc>
      </w:tr>
      <w:tr w14:paraId="6A9E3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1016" w:type="dxa"/>
            <w:vAlign w:val="center"/>
          </w:tcPr>
          <w:p w14:paraId="46AAE334">
            <w:pPr>
              <w:jc w:val="center"/>
              <w:rPr>
                <w:rFonts w:hint="eastAsia" w:ascii="宋体" w:hAnsi="宋体"/>
                <w:vertAlign w:val="baseline"/>
                <w:lang w:val="en-US" w:eastAsia="zh-CN"/>
              </w:rPr>
            </w:pPr>
            <w:r>
              <w:rPr>
                <w:rFonts w:hint="eastAsia" w:ascii="宋体" w:hAnsi="宋体"/>
                <w:vertAlign w:val="baseline"/>
                <w:lang w:val="en-US" w:eastAsia="zh-CN"/>
              </w:rPr>
              <w:t>2</w:t>
            </w:r>
          </w:p>
        </w:tc>
        <w:tc>
          <w:tcPr>
            <w:tcW w:w="3708" w:type="dxa"/>
            <w:vAlign w:val="center"/>
          </w:tcPr>
          <w:p w14:paraId="170C7C09">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sz w:val="24"/>
                <w:szCs w:val="20"/>
                <w:vertAlign w:val="baseline"/>
              </w:rPr>
            </w:pPr>
            <w:r>
              <w:rPr>
                <w:rFonts w:hint="eastAsia" w:ascii="宋体" w:hAnsi="宋体"/>
                <w:sz w:val="24"/>
                <w:szCs w:val="20"/>
                <w:vertAlign w:val="baseline"/>
              </w:rPr>
              <w:t>《水利部关于河道采砂管理工作的指导意见》《云南省水利厅关于加强河道采砂管理工作的实施意见》均明确规定，因河道清淤采砂的，应当编制采砂可行性论证报告。2023年5月现场调查发现，2019年以来，临沧市在未编制采砂可行性论证报告的情况下，先后在南汀河禁采区内设置了30个清淤疏浚点，年计划清淤采砂量高达208万立方米，相当于可采区采砂量70%，现场砂石料沿河堆积如山，名为清淤疏浚、实为出让河道采砂经营权。进一步调查发现，禁采区内83%的清淤采砂点位于国家级水产种质资源保护区南汀河干流核心区内，导致部分河道及岸线被侵占破坏，对河流生态以及河势造成影响。耿马县众森砂业公司等企业超宽超深挖砂取料，众森砂业公司石膏山下段在禁采期内违规采砂作业。耿马县还违反《风景名胜区条例》相关规定，在南汀河省级风景名胜区内以河道清淤名义设置4处采砂点。</w:t>
            </w:r>
          </w:p>
        </w:tc>
        <w:tc>
          <w:tcPr>
            <w:tcW w:w="1507" w:type="dxa"/>
            <w:shd w:val="clear" w:color="auto" w:fill="auto"/>
            <w:vAlign w:val="center"/>
          </w:tcPr>
          <w:p w14:paraId="14531004">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rPr>
                <w:rFonts w:hint="eastAsia" w:ascii="宋体" w:hAnsi="宋体"/>
                <w:sz w:val="24"/>
                <w:szCs w:val="20"/>
                <w:vertAlign w:val="baseline"/>
                <w:lang w:val="en-US" w:eastAsia="zh-CN"/>
              </w:rPr>
            </w:pPr>
            <w:r>
              <w:rPr>
                <w:rFonts w:hint="eastAsia" w:ascii="宋体" w:hAnsi="宋体"/>
                <w:sz w:val="24"/>
                <w:szCs w:val="20"/>
                <w:vertAlign w:val="baseline"/>
                <w:lang w:val="en-US" w:eastAsia="zh-CN"/>
              </w:rPr>
              <w:t>临沧市人民政府</w:t>
            </w:r>
          </w:p>
        </w:tc>
        <w:tc>
          <w:tcPr>
            <w:tcW w:w="2061" w:type="dxa"/>
            <w:vAlign w:val="center"/>
          </w:tcPr>
          <w:p w14:paraId="359F24B0">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sz w:val="24"/>
                <w:szCs w:val="20"/>
                <w:vertAlign w:val="baseline"/>
              </w:rPr>
            </w:pPr>
            <w:r>
              <w:rPr>
                <w:rFonts w:hint="eastAsia" w:ascii="宋体" w:hAnsi="宋体"/>
                <w:sz w:val="24"/>
                <w:szCs w:val="20"/>
                <w:vertAlign w:val="baseline"/>
              </w:rPr>
              <w:t>取缔南汀河禁采区内违法采砂场点，依法全面规范临沧市疏浚砂综合利用管理，确保河势稳定和防洪安全、生态安全、航运安全、重要基础设施安全。</w:t>
            </w:r>
          </w:p>
        </w:tc>
        <w:tc>
          <w:tcPr>
            <w:tcW w:w="3519" w:type="dxa"/>
            <w:shd w:val="clear" w:color="auto" w:fill="auto"/>
            <w:vAlign w:val="center"/>
          </w:tcPr>
          <w:p w14:paraId="671E7CC3">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sz w:val="24"/>
                <w:szCs w:val="20"/>
                <w:vertAlign w:val="baseline"/>
              </w:rPr>
            </w:pPr>
            <w:r>
              <w:rPr>
                <w:rFonts w:hint="eastAsia" w:ascii="宋体" w:hAnsi="宋体"/>
                <w:sz w:val="24"/>
                <w:szCs w:val="20"/>
                <w:vertAlign w:val="baseline"/>
              </w:rPr>
              <w:t>五是完善河道采砂管理制度，严格采砂规划、采砂许可、疏浚砂综合利用管理。全面推行河道砂石采运管理单制度，提高涉砂活动监管效能。六是落实《水产种质资源保护区管理办法》等</w:t>
            </w:r>
            <w:r>
              <w:rPr>
                <w:rFonts w:hint="eastAsia" w:ascii="宋体" w:hAnsi="宋体"/>
                <w:sz w:val="24"/>
                <w:szCs w:val="20"/>
                <w:vertAlign w:val="baseline"/>
                <w:lang w:val="en"/>
              </w:rPr>
              <w:t>有关</w:t>
            </w:r>
            <w:r>
              <w:rPr>
                <w:rFonts w:hint="eastAsia" w:ascii="宋体" w:hAnsi="宋体"/>
                <w:sz w:val="24"/>
                <w:szCs w:val="20"/>
                <w:vertAlign w:val="baseline"/>
              </w:rPr>
              <w:t>要求，强化水产种质资源保护区的监督管理，提升保护管理水平。对临沧市内水产种质资源保护区开展全面排查整治，在保护区范围内的工程建设项目，严格按照要求开展水生生物专题影响评价。维护水产种质资源保护区界碑、标志物及</w:t>
            </w:r>
            <w:r>
              <w:rPr>
                <w:rFonts w:hint="eastAsia" w:ascii="宋体" w:hAnsi="宋体"/>
                <w:sz w:val="24"/>
                <w:szCs w:val="20"/>
                <w:vertAlign w:val="baseline"/>
                <w:lang w:val="en"/>
              </w:rPr>
              <w:t>有关</w:t>
            </w:r>
            <w:r>
              <w:rPr>
                <w:rFonts w:hint="eastAsia" w:ascii="宋体" w:hAnsi="宋体"/>
                <w:sz w:val="24"/>
                <w:szCs w:val="20"/>
                <w:vertAlign w:val="baseline"/>
              </w:rPr>
              <w:t>保护设施，在水产种质资源保护区重要位置增设标识标牌，加强宣传引导。制定临沧市水产种质资源保护区具体管理制度，明确巡查检查、监督管理职责。七是严格按照《风景名胜区条例》</w:t>
            </w:r>
            <w:r>
              <w:rPr>
                <w:rFonts w:hint="eastAsia" w:ascii="宋体" w:hAnsi="宋体"/>
                <w:sz w:val="24"/>
                <w:szCs w:val="20"/>
                <w:vertAlign w:val="baseline"/>
                <w:lang w:val="en"/>
              </w:rPr>
              <w:t>有关</w:t>
            </w:r>
            <w:r>
              <w:rPr>
                <w:rFonts w:hint="eastAsia" w:ascii="宋体" w:hAnsi="宋体"/>
                <w:sz w:val="24"/>
                <w:szCs w:val="20"/>
                <w:vertAlign w:val="baseline"/>
              </w:rPr>
              <w:t>规定加强风景名胜区监管，对省级风景名胜区内的河道清淤点开展排查，规范整治，对违法违规采砂点予以取缔，提升风景名胜区保护水平。</w:t>
            </w:r>
          </w:p>
        </w:tc>
        <w:tc>
          <w:tcPr>
            <w:tcW w:w="2363" w:type="dxa"/>
            <w:shd w:val="clear" w:color="auto" w:fill="auto"/>
            <w:vAlign w:val="center"/>
          </w:tcPr>
          <w:p w14:paraId="3EBAB6FE">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sz w:val="24"/>
                <w:szCs w:val="20"/>
                <w:vertAlign w:val="baseline"/>
              </w:rPr>
            </w:pPr>
            <w:r>
              <w:rPr>
                <w:rFonts w:hint="eastAsia" w:ascii="宋体" w:hAnsi="宋体"/>
                <w:sz w:val="24"/>
                <w:szCs w:val="20"/>
                <w:vertAlign w:val="baseline"/>
              </w:rPr>
              <w:t>整改方案明确的整改措施、整改目标均已完成。</w:t>
            </w:r>
          </w:p>
          <w:p w14:paraId="219B4EC7">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sz w:val="24"/>
                <w:szCs w:val="20"/>
                <w:vertAlign w:val="baseline"/>
              </w:rPr>
            </w:pPr>
            <w:r>
              <w:rPr>
                <w:rFonts w:hint="eastAsia" w:ascii="宋体" w:hAnsi="宋体"/>
                <w:sz w:val="24"/>
                <w:szCs w:val="20"/>
                <w:vertAlign w:val="baseline"/>
              </w:rPr>
              <w:t>南汀河禁采区非法清淤疏浚点排查整治已完成，全市河道采砂突出问题集中整治专项行动已完成，全市共整治点位125个，共清运非法占用河道管理范围内砂石料251.4万立方米，移除河道管理范围内生产加工设备61台，拆解采砂机具74套，修复河道88段。</w:t>
            </w:r>
          </w:p>
        </w:tc>
      </w:tr>
      <w:tr w14:paraId="7AB31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1016" w:type="dxa"/>
            <w:vAlign w:val="center"/>
          </w:tcPr>
          <w:p w14:paraId="13041FFC">
            <w:pPr>
              <w:jc w:val="center"/>
              <w:rPr>
                <w:rFonts w:hint="eastAsia" w:ascii="宋体" w:hAnsi="宋体" w:eastAsia="仿宋"/>
                <w:vertAlign w:val="baseline"/>
                <w:lang w:val="en-US" w:eastAsia="zh-CN"/>
              </w:rPr>
            </w:pPr>
            <w:r>
              <w:rPr>
                <w:rFonts w:hint="eastAsia" w:ascii="宋体" w:hAnsi="宋体"/>
                <w:vertAlign w:val="baseline"/>
                <w:lang w:val="en-US" w:eastAsia="zh-CN"/>
              </w:rPr>
              <w:t>3</w:t>
            </w:r>
          </w:p>
        </w:tc>
        <w:tc>
          <w:tcPr>
            <w:tcW w:w="3708" w:type="dxa"/>
            <w:vAlign w:val="center"/>
          </w:tcPr>
          <w:p w14:paraId="1FE5094C">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ascii="宋体" w:hAnsi="宋体"/>
                <w:vertAlign w:val="baseline"/>
              </w:rPr>
            </w:pPr>
            <w:r>
              <w:rPr>
                <w:rFonts w:hint="eastAsia" w:ascii="宋体" w:hAnsi="宋体"/>
                <w:sz w:val="24"/>
                <w:szCs w:val="20"/>
                <w:vertAlign w:val="baseline"/>
                <w:lang w:val="en-US" w:eastAsia="zh-CN"/>
              </w:rPr>
              <w:t>2023年5月现场调查发现，保山市龙陵县金河采石场未经水利部门批准，长期在河道内取水洗砂，并违规占用河道堆存砂石约1.8万立方米，导致河道基本被拦腰截断，影响行洪和河道生态。该采石场还违规占用1.17亩永久基本农田和2.25亩乔木林地修建沉淀池。</w:t>
            </w:r>
          </w:p>
        </w:tc>
        <w:tc>
          <w:tcPr>
            <w:tcW w:w="1507" w:type="dxa"/>
            <w:vAlign w:val="center"/>
          </w:tcPr>
          <w:p w14:paraId="6A2BA32A">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rPr>
                <w:rFonts w:ascii="宋体" w:hAnsi="宋体"/>
                <w:vertAlign w:val="baseline"/>
              </w:rPr>
            </w:pPr>
            <w:r>
              <w:rPr>
                <w:rFonts w:hint="eastAsia" w:ascii="宋体" w:hAnsi="宋体"/>
                <w:sz w:val="24"/>
                <w:szCs w:val="20"/>
                <w:vertAlign w:val="baseline"/>
                <w:lang w:val="en-US" w:eastAsia="zh-CN"/>
              </w:rPr>
              <w:t>保山市人民政府</w:t>
            </w:r>
          </w:p>
        </w:tc>
        <w:tc>
          <w:tcPr>
            <w:tcW w:w="2061" w:type="dxa"/>
            <w:vAlign w:val="center"/>
          </w:tcPr>
          <w:p w14:paraId="1A9E06AE">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ascii="宋体" w:hAnsi="宋体"/>
                <w:vertAlign w:val="baseline"/>
              </w:rPr>
            </w:pPr>
            <w:r>
              <w:rPr>
                <w:rFonts w:hint="eastAsia" w:ascii="宋体" w:hAnsi="宋体"/>
                <w:sz w:val="24"/>
                <w:szCs w:val="20"/>
                <w:vertAlign w:val="baseline"/>
              </w:rPr>
              <w:t>进一步规范矿山采石场管理，清理占用河道堆砂区和取水设施并修复河道、对违规占用的基本农田进行复耕、对违规占用的林地恢复植被和林业生产条件。</w:t>
            </w:r>
          </w:p>
        </w:tc>
        <w:tc>
          <w:tcPr>
            <w:tcW w:w="3519" w:type="dxa"/>
            <w:vAlign w:val="center"/>
          </w:tcPr>
          <w:p w14:paraId="3C336E15">
            <w:pPr>
              <w:keepNext w:val="0"/>
              <w:keepLines w:val="0"/>
              <w:pageBreakBefore w:val="0"/>
              <w:widowControl w:val="0"/>
              <w:kinsoku/>
              <w:wordWrap/>
              <w:overflowPunct/>
              <w:topLinePunct w:val="0"/>
              <w:autoSpaceDE w:val="0"/>
              <w:autoSpaceDN w:val="0"/>
              <w:bidi w:val="0"/>
              <w:adjustRightInd/>
              <w:snapToGrid/>
              <w:spacing w:line="310" w:lineRule="exact"/>
              <w:jc w:val="both"/>
              <w:textAlignment w:val="auto"/>
              <w:rPr>
                <w:rFonts w:hint="eastAsia" w:ascii="宋体" w:hAnsi="宋体"/>
                <w:sz w:val="24"/>
                <w:szCs w:val="20"/>
                <w:vertAlign w:val="baseline"/>
              </w:rPr>
            </w:pPr>
            <w:r>
              <w:rPr>
                <w:rFonts w:hint="eastAsia" w:ascii="宋体" w:hAnsi="宋体"/>
                <w:sz w:val="24"/>
                <w:szCs w:val="20"/>
                <w:vertAlign w:val="baseline"/>
              </w:rPr>
              <w:t>一是责令涉事企业立即停止占用河道堆存砂和非法取水行为，对违规违法问题进行依法查处。对违规占用河道堆存砂区域进行清除并修复河道，保障行洪安全。进一步规范取水许可审批管理，加强执法检查和监管，加大对违法取水的惩治力度。二是对违规占地进行现场放线定界，明确违规用地范围，责令涉事企业立即进行整改，对违规违法占地行为进行依法查处，对违规占用耕地林地进行复耕复绿。三是加强矿山采石场的日常监管，规范行业生产秩序，维护生态安全。</w:t>
            </w:r>
          </w:p>
          <w:p w14:paraId="5D61A48D">
            <w:pPr>
              <w:keepNext w:val="0"/>
              <w:keepLines w:val="0"/>
              <w:pageBreakBefore w:val="0"/>
              <w:widowControl w:val="0"/>
              <w:kinsoku/>
              <w:wordWrap/>
              <w:overflowPunct/>
              <w:topLinePunct w:val="0"/>
              <w:autoSpaceDE w:val="0"/>
              <w:autoSpaceDN w:val="0"/>
              <w:bidi w:val="0"/>
              <w:adjustRightInd/>
              <w:snapToGrid/>
              <w:spacing w:line="310" w:lineRule="exact"/>
              <w:jc w:val="both"/>
              <w:textAlignment w:val="auto"/>
              <w:rPr>
                <w:rFonts w:ascii="宋体" w:hAnsi="宋体"/>
                <w:vertAlign w:val="baseline"/>
              </w:rPr>
            </w:pPr>
            <w:r>
              <w:rPr>
                <w:rFonts w:hint="eastAsia" w:ascii="宋体" w:hAnsi="宋体"/>
                <w:sz w:val="24"/>
                <w:szCs w:val="20"/>
                <w:vertAlign w:val="baseline"/>
              </w:rPr>
              <w:t>四是持续整治河湖“四乱”问题，扎实开展2024年河湖遥感疑似问题图斑核查整改销号工作。五是全面强化水行政执法与刑事司法衔接、与检察公益诉讼协作。依法严厉打击非法取水、侵占河湖、妨碍行洪安全、破坏水工程、人为造成水土流失等各类涉水违法犯罪行为。</w:t>
            </w:r>
          </w:p>
        </w:tc>
        <w:tc>
          <w:tcPr>
            <w:tcW w:w="2363" w:type="dxa"/>
            <w:vAlign w:val="center"/>
          </w:tcPr>
          <w:p w14:paraId="6500B31F">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sz w:val="24"/>
                <w:szCs w:val="20"/>
                <w:vertAlign w:val="baseline"/>
                <w:lang w:val="en-US" w:eastAsia="zh-CN"/>
              </w:rPr>
            </w:pPr>
            <w:r>
              <w:rPr>
                <w:rFonts w:hint="eastAsia" w:ascii="宋体" w:hAnsi="宋体"/>
                <w:sz w:val="24"/>
                <w:szCs w:val="20"/>
                <w:vertAlign w:val="baseline"/>
                <w:lang w:val="en-US" w:eastAsia="zh-CN"/>
              </w:rPr>
              <w:t>整改方案明确的整改措施、整改目标均已完成。</w:t>
            </w:r>
          </w:p>
          <w:p w14:paraId="72C0BC0B">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ascii="宋体" w:hAnsi="宋体"/>
                <w:vertAlign w:val="baseline"/>
              </w:rPr>
            </w:pPr>
            <w:r>
              <w:rPr>
                <w:rFonts w:hint="eastAsia" w:ascii="宋体" w:hAnsi="宋体"/>
                <w:sz w:val="24"/>
                <w:szCs w:val="20"/>
                <w:vertAlign w:val="baseline"/>
                <w:lang w:val="en-US" w:eastAsia="zh-CN"/>
              </w:rPr>
              <w:t>违规占用河道堆存砂已清理，违规取水洗砂行为已查处，河道已恢复行洪能力并进行生态修复，违规占用的耕地林地已进行复耕复绿。</w:t>
            </w:r>
          </w:p>
        </w:tc>
      </w:tr>
      <w:tr w14:paraId="0A20B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6" w:type="dxa"/>
            <w:vAlign w:val="center"/>
          </w:tcPr>
          <w:p w14:paraId="0E5203F6">
            <w:pPr>
              <w:jc w:val="center"/>
              <w:rPr>
                <w:rFonts w:hint="eastAsia" w:ascii="宋体" w:hAnsi="宋体" w:eastAsia="仿宋"/>
                <w:vertAlign w:val="baseline"/>
                <w:lang w:val="en-US" w:eastAsia="zh-CN"/>
              </w:rPr>
            </w:pPr>
            <w:r>
              <w:rPr>
                <w:rFonts w:hint="eastAsia" w:ascii="宋体" w:hAnsi="宋体"/>
                <w:vertAlign w:val="baseline"/>
                <w:lang w:val="en-US" w:eastAsia="zh-CN"/>
              </w:rPr>
              <w:t>4</w:t>
            </w:r>
          </w:p>
        </w:tc>
        <w:tc>
          <w:tcPr>
            <w:tcW w:w="3708" w:type="dxa"/>
            <w:shd w:val="clear" w:color="auto" w:fill="auto"/>
            <w:vAlign w:val="center"/>
          </w:tcPr>
          <w:p w14:paraId="7E109C07">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ascii="宋体" w:hAnsi="宋体" w:eastAsia="仿宋" w:cs="Arial Unicode MS"/>
                <w:sz w:val="32"/>
                <w:szCs w:val="22"/>
                <w:vertAlign w:val="baseline"/>
                <w:lang w:val="zh-CN" w:eastAsia="zh-CN" w:bidi="zh-CN"/>
              </w:rPr>
            </w:pPr>
            <w:r>
              <w:rPr>
                <w:rFonts w:hint="eastAsia" w:ascii="宋体" w:hAnsi="宋体"/>
                <w:sz w:val="24"/>
                <w:szCs w:val="20"/>
                <w:vertAlign w:val="baseline"/>
                <w:lang w:val="en-US" w:eastAsia="zh-CN"/>
              </w:rPr>
              <w:t>2023年6月现场调查发现，大理州洱海调蓄带北湖塘段溢流口闸门拦截封堵不严，部分农田尾水和初期雨水通过闸门进入洱海。大理镇、太和街道部分农田尾水经北罗久邑村1号沟流入洱海，对该沟渠入湖排口取样监测显示，化学需氧量、总氮、总磷浓度分别为 31毫克/升、26.6 毫克/升、1毫克/升，分别是地表水II类标准的1.6倍、26.6倍、5.2倍。此外，中冶(西南)建设工程技术发展有限公司与喜洲镇波罗自然村擅自从洱海取水用于土地整治项目灌溉，又将多余水量通过农村周边沟渠回流洱海。</w:t>
            </w:r>
          </w:p>
        </w:tc>
        <w:tc>
          <w:tcPr>
            <w:tcW w:w="1507" w:type="dxa"/>
            <w:shd w:val="clear" w:color="auto" w:fill="auto"/>
            <w:vAlign w:val="center"/>
          </w:tcPr>
          <w:p w14:paraId="78FC3A14">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rPr>
                <w:rFonts w:hint="eastAsia" w:ascii="宋体" w:hAnsi="宋体" w:eastAsia="仿宋" w:cs="Arial Unicode MS"/>
                <w:sz w:val="24"/>
                <w:szCs w:val="20"/>
                <w:vertAlign w:val="baseline"/>
                <w:lang w:val="en-US" w:eastAsia="zh-CN" w:bidi="zh-CN"/>
              </w:rPr>
            </w:pPr>
            <w:r>
              <w:rPr>
                <w:rFonts w:hint="eastAsia" w:ascii="宋体" w:hAnsi="宋体"/>
                <w:sz w:val="24"/>
                <w:szCs w:val="20"/>
                <w:vertAlign w:val="baseline"/>
                <w:lang w:val="en-US" w:eastAsia="zh-CN"/>
              </w:rPr>
              <w:t>大理州人民政府</w:t>
            </w:r>
          </w:p>
        </w:tc>
        <w:tc>
          <w:tcPr>
            <w:tcW w:w="2061" w:type="dxa"/>
            <w:vAlign w:val="center"/>
          </w:tcPr>
          <w:p w14:paraId="11A17DDF">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ascii="宋体" w:hAnsi="宋体"/>
                <w:vertAlign w:val="baseline"/>
              </w:rPr>
            </w:pPr>
            <w:r>
              <w:rPr>
                <w:rFonts w:hint="eastAsia" w:ascii="宋体" w:hAnsi="宋体"/>
                <w:sz w:val="24"/>
                <w:szCs w:val="20"/>
                <w:vertAlign w:val="baseline"/>
                <w:lang w:val="en-US" w:eastAsia="zh-CN"/>
              </w:rPr>
              <w:t>加强调蓄带运营管理，完成调蓄带北湖塘段出水口等82座闸门更换，加强日常监管，确保调蓄带正常运行，最大限度防止雨水携污入湖。加强北罗久邑村1号沟等沟渠排查整治，强化农田尾水管控，最大限度将调蓄带蓄水进行回用灌溉减少河道取水，增加清水入湖。严格执法监管，对非法取水行为进行立案查处，规范企业取用水行为。</w:t>
            </w:r>
          </w:p>
        </w:tc>
        <w:tc>
          <w:tcPr>
            <w:tcW w:w="3519" w:type="dxa"/>
            <w:shd w:val="clear" w:color="auto" w:fill="auto"/>
            <w:vAlign w:val="center"/>
          </w:tcPr>
          <w:p w14:paraId="6A5198D0">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ascii="宋体" w:hAnsi="宋体" w:eastAsia="仿宋" w:cs="Arial Unicode MS"/>
                <w:sz w:val="32"/>
                <w:szCs w:val="22"/>
                <w:vertAlign w:val="baseline"/>
                <w:lang w:val="zh-CN" w:eastAsia="zh-CN" w:bidi="zh-CN"/>
              </w:rPr>
            </w:pPr>
            <w:r>
              <w:rPr>
                <w:rFonts w:hint="eastAsia" w:ascii="宋体" w:hAnsi="宋体"/>
                <w:sz w:val="24"/>
                <w:szCs w:val="20"/>
                <w:vertAlign w:val="baseline"/>
              </w:rPr>
              <w:t>一是加强调蓄带运行管理。明确县（市）、乡镇（街道)、村委会（社区）调蓄带监管责任，水行政部门承担主管责任，运营单位承担管理责任，乡镇（街道）承担辖区责任强化责任落实；启动现有82座进出水闸门更换工作，2024年5月底前完成闸门更换；通过公开购买服务的方式确定调蓄带运营管理单位,对调蓄带进水及出水闸门精准管控,完善调蓄带调蓄、回用、转输处置等运行管理机制，强化现场管理，建立完善运营考核管理机制，严格落实运营监督管理；严格落实《洱海海西库塘调蓄带农田尾水回用处置精准提升工作方案》，根据“五个一点”处置原则，切实发挥调蓄带农田尾水、初期雨水冲击性污染负荷调蓄、拦截、消纳、沉淀作用。</w:t>
            </w:r>
          </w:p>
        </w:tc>
        <w:tc>
          <w:tcPr>
            <w:tcW w:w="2363" w:type="dxa"/>
            <w:vAlign w:val="center"/>
          </w:tcPr>
          <w:p w14:paraId="31FAD400">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sz w:val="24"/>
                <w:szCs w:val="20"/>
                <w:vertAlign w:val="baseline"/>
              </w:rPr>
            </w:pPr>
            <w:r>
              <w:rPr>
                <w:rFonts w:hint="eastAsia" w:ascii="宋体" w:hAnsi="宋体"/>
                <w:sz w:val="24"/>
                <w:szCs w:val="20"/>
                <w:vertAlign w:val="baseline"/>
              </w:rPr>
              <w:t>整改方案明确的整改措施已完成</w:t>
            </w:r>
            <w:r>
              <w:rPr>
                <w:rFonts w:hint="eastAsia" w:ascii="宋体" w:hAnsi="宋体"/>
                <w:sz w:val="24"/>
                <w:szCs w:val="20"/>
                <w:vertAlign w:val="baseline"/>
                <w:lang w:eastAsia="zh-CN"/>
              </w:rPr>
              <w:t>，</w:t>
            </w:r>
            <w:r>
              <w:rPr>
                <w:rFonts w:hint="eastAsia" w:ascii="宋体" w:hAnsi="宋体"/>
                <w:sz w:val="24"/>
                <w:szCs w:val="20"/>
                <w:vertAlign w:val="baseline"/>
                <w:lang w:val="en-US" w:eastAsia="zh-CN"/>
              </w:rPr>
              <w:t>基本达到整改目标要求</w:t>
            </w:r>
            <w:r>
              <w:rPr>
                <w:rFonts w:hint="eastAsia" w:ascii="宋体" w:hAnsi="宋体"/>
                <w:sz w:val="24"/>
                <w:szCs w:val="20"/>
                <w:vertAlign w:val="baseline"/>
              </w:rPr>
              <w:t>。</w:t>
            </w:r>
          </w:p>
          <w:p w14:paraId="6E3760A3">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default" w:ascii="宋体" w:hAnsi="宋体" w:eastAsia="仿宋"/>
                <w:sz w:val="24"/>
                <w:szCs w:val="20"/>
                <w:vertAlign w:val="baseline"/>
                <w:lang w:val="en-US" w:eastAsia="zh-CN"/>
              </w:rPr>
            </w:pPr>
            <w:r>
              <w:rPr>
                <w:rFonts w:hint="eastAsia" w:ascii="宋体" w:hAnsi="宋体"/>
                <w:sz w:val="24"/>
                <w:szCs w:val="20"/>
                <w:vertAlign w:val="baseline"/>
                <w:lang w:val="en-US" w:eastAsia="zh-CN"/>
              </w:rPr>
              <w:t>一是洱海调蓄带北湖塘段82座闸门已更换，并通过公开购买服务方式确定运营管理单位，对调蓄带闸门精准管控，充分发挥了调蓄带对农田尾水及初期雨水的处置作用。</w:t>
            </w:r>
          </w:p>
          <w:p w14:paraId="6ABF751E">
            <w:pPr>
              <w:jc w:val="center"/>
              <w:rPr>
                <w:rFonts w:hint="eastAsia" w:ascii="宋体" w:hAnsi="宋体" w:eastAsia="仿宋"/>
                <w:vertAlign w:val="baseline"/>
                <w:lang w:val="en-US" w:eastAsia="zh-CN"/>
              </w:rPr>
            </w:pPr>
          </w:p>
        </w:tc>
      </w:tr>
      <w:tr w14:paraId="4F9B0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1016" w:type="dxa"/>
            <w:vAlign w:val="center"/>
          </w:tcPr>
          <w:p w14:paraId="2C232C09">
            <w:pPr>
              <w:jc w:val="center"/>
              <w:rPr>
                <w:rFonts w:hint="eastAsia" w:ascii="宋体" w:hAnsi="宋体"/>
                <w:vertAlign w:val="baseline"/>
                <w:lang w:val="en-US" w:eastAsia="zh-CN"/>
              </w:rPr>
            </w:pPr>
            <w:r>
              <w:rPr>
                <w:rFonts w:hint="eastAsia" w:ascii="宋体" w:hAnsi="宋体"/>
                <w:vertAlign w:val="baseline"/>
                <w:lang w:val="en-US" w:eastAsia="zh-CN"/>
              </w:rPr>
              <w:t>4</w:t>
            </w:r>
          </w:p>
        </w:tc>
        <w:tc>
          <w:tcPr>
            <w:tcW w:w="3708" w:type="dxa"/>
            <w:shd w:val="clear" w:color="auto" w:fill="auto"/>
            <w:vAlign w:val="center"/>
          </w:tcPr>
          <w:p w14:paraId="4B986376">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sz w:val="24"/>
                <w:szCs w:val="20"/>
                <w:vertAlign w:val="baseline"/>
                <w:lang w:val="en-US" w:eastAsia="zh-CN"/>
              </w:rPr>
            </w:pPr>
            <w:r>
              <w:rPr>
                <w:rFonts w:hint="eastAsia" w:ascii="宋体" w:hAnsi="宋体"/>
                <w:sz w:val="24"/>
                <w:szCs w:val="20"/>
                <w:vertAlign w:val="baseline"/>
                <w:lang w:val="en-US" w:eastAsia="zh-CN"/>
              </w:rPr>
              <w:t>2023年6月现场调查发现，大理州洱海调蓄带北湖塘段溢流口闸门拦截封堵不严，部分农田尾水和初期雨水通过闸门进入洱海。大理镇、太和街道部分农田尾水经北罗久邑村1号沟流入洱海，对该沟渠入湖排口取样监测显示，化学需氧量、总氮、总磷浓度分别为 31毫克/升、26.6 毫克/升、1毫克/升，分别是地表水II类标准的1.6倍、26.6倍、5.2倍。此外，中冶(西南)建设工程技术发展有限公司与喜洲镇波罗自然村擅自从洱海取水用于土地整治项目灌溉，又将多余水量通过农村周边沟渠回流洱海。</w:t>
            </w:r>
          </w:p>
        </w:tc>
        <w:tc>
          <w:tcPr>
            <w:tcW w:w="1507" w:type="dxa"/>
            <w:shd w:val="clear" w:color="auto" w:fill="auto"/>
            <w:vAlign w:val="center"/>
          </w:tcPr>
          <w:p w14:paraId="0520327A">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rPr>
                <w:rFonts w:hint="eastAsia" w:ascii="宋体" w:hAnsi="宋体"/>
                <w:sz w:val="24"/>
                <w:szCs w:val="20"/>
                <w:vertAlign w:val="baseline"/>
                <w:lang w:val="en-US" w:eastAsia="zh-CN"/>
              </w:rPr>
            </w:pPr>
            <w:r>
              <w:rPr>
                <w:rFonts w:hint="eastAsia" w:ascii="宋体" w:hAnsi="宋体"/>
                <w:sz w:val="24"/>
                <w:szCs w:val="20"/>
                <w:vertAlign w:val="baseline"/>
                <w:lang w:val="en-US" w:eastAsia="zh-CN"/>
              </w:rPr>
              <w:t>大理州人民政府</w:t>
            </w:r>
          </w:p>
        </w:tc>
        <w:tc>
          <w:tcPr>
            <w:tcW w:w="2061" w:type="dxa"/>
            <w:vAlign w:val="center"/>
          </w:tcPr>
          <w:p w14:paraId="4BB9FF05">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eastAsia" w:ascii="宋体" w:hAnsi="宋体"/>
                <w:sz w:val="24"/>
                <w:szCs w:val="20"/>
                <w:vertAlign w:val="baseline"/>
                <w:lang w:val="en-US" w:eastAsia="zh-CN"/>
              </w:rPr>
            </w:pPr>
            <w:r>
              <w:rPr>
                <w:rFonts w:hint="eastAsia" w:ascii="宋体" w:hAnsi="宋体"/>
                <w:sz w:val="24"/>
                <w:szCs w:val="20"/>
                <w:vertAlign w:val="baseline"/>
                <w:lang w:val="en-US" w:eastAsia="zh-CN"/>
              </w:rPr>
              <w:t>加强调蓄带运营管理，完成调蓄带北湖塘段出水口等82座闸门更换，加强日常监管，确保调蓄带正常运行，最大限度防止雨水携污入湖。加强北罗久邑村1号沟等沟渠排查整治，强化农田尾水管控，最大限度将调蓄带蓄水进行回用灌溉减少河道取水，增加清水入湖。严格执法监管，对非法取水行为进行立案查处，规范企业取用水行为。</w:t>
            </w:r>
          </w:p>
        </w:tc>
        <w:tc>
          <w:tcPr>
            <w:tcW w:w="3519" w:type="dxa"/>
            <w:shd w:val="clear" w:color="auto" w:fill="auto"/>
            <w:vAlign w:val="center"/>
          </w:tcPr>
          <w:p w14:paraId="3EBF472D">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hint="eastAsia" w:ascii="宋体" w:hAnsi="宋体"/>
                <w:sz w:val="24"/>
                <w:szCs w:val="20"/>
                <w:vertAlign w:val="baseline"/>
              </w:rPr>
            </w:pPr>
            <w:r>
              <w:rPr>
                <w:rFonts w:hint="eastAsia" w:ascii="宋体" w:hAnsi="宋体"/>
                <w:sz w:val="24"/>
                <w:szCs w:val="20"/>
                <w:vertAlign w:val="baseline"/>
              </w:rPr>
              <w:t>二是加强农业面源污染防控，强化农田退水管理。2024年4月底前开展北罗久邑村1号沟排查，更换跑冒滴漏管道，并对沟渠进行全面清淤；举一反三，对北罗久邑村沟渠进行全面排查，摸清基本现状，进行水质检测，完善“一沟一档”，根据水质检测结果进行溯源排查，及时消除污染隐患；持续推进“三禁四推”管理，强化沿线农田退水管控，探索实施农田尾水回用机制。</w:t>
            </w:r>
          </w:p>
          <w:p w14:paraId="47904069">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rPr>
                <w:rFonts w:ascii="宋体" w:hAnsi="宋体" w:eastAsia="仿宋" w:cs="Arial Unicode MS"/>
                <w:sz w:val="32"/>
                <w:szCs w:val="22"/>
                <w:vertAlign w:val="baseline"/>
                <w:lang w:val="zh-CN" w:eastAsia="zh-CN" w:bidi="zh-CN"/>
              </w:rPr>
            </w:pPr>
            <w:r>
              <w:rPr>
                <w:rFonts w:hint="eastAsia" w:ascii="宋体" w:hAnsi="宋体"/>
                <w:sz w:val="24"/>
                <w:szCs w:val="20"/>
                <w:vertAlign w:val="baseline"/>
              </w:rPr>
              <w:t>三是严格取水管控。及时对中冶（西南）建设工程技术发展有限公司土地整理项目非法取水灌溉行为依法立案查处，更换破损管道；进一步加强农业灌溉管水控水工作，2024年4月底前更新完善管水控水工作方案；规范农业灌溉用水取水许可审批管理，加强涉河涉湖执法检查和监管，加大对违法取水行为的惩治力度，严厉打击非法取水用水行为。</w:t>
            </w:r>
          </w:p>
        </w:tc>
        <w:tc>
          <w:tcPr>
            <w:tcW w:w="2363" w:type="dxa"/>
            <w:vAlign w:val="center"/>
          </w:tcPr>
          <w:p w14:paraId="05647978">
            <w:pPr>
              <w:keepNext w:val="0"/>
              <w:keepLines w:val="0"/>
              <w:pageBreakBefore w:val="0"/>
              <w:widowControl w:val="0"/>
              <w:kinsoku/>
              <w:wordWrap/>
              <w:overflowPunct/>
              <w:topLinePunct w:val="0"/>
              <w:autoSpaceDE w:val="0"/>
              <w:autoSpaceDN w:val="0"/>
              <w:bidi w:val="0"/>
              <w:adjustRightInd/>
              <w:snapToGrid/>
              <w:spacing w:line="320" w:lineRule="exact"/>
              <w:jc w:val="both"/>
              <w:textAlignment w:val="auto"/>
              <w:rPr>
                <w:rFonts w:hint="default" w:ascii="宋体" w:hAnsi="宋体"/>
                <w:vertAlign w:val="baseline"/>
                <w:lang w:val="en-US"/>
              </w:rPr>
            </w:pPr>
            <w:r>
              <w:rPr>
                <w:rFonts w:hint="eastAsia" w:ascii="宋体" w:hAnsi="宋体"/>
                <w:sz w:val="24"/>
                <w:szCs w:val="20"/>
                <w:vertAlign w:val="baseline"/>
                <w:lang w:val="en-US" w:eastAsia="zh-CN"/>
              </w:rPr>
              <w:t>二是已对北罗久邑片区沟渠进行全面排查，通过溯源排查整治、农田控肥控药、沟渠清淤修复、垃圾清运、藻水分离处理等措施改善沟渠水质，在非汛期强降雨情况下确保超标准尾水不直接入湖。三是已对违法取水企业进行立案查处，对相关责任人进行责任追究，修订印发《大理市农业灌溉管水控水工作方案》，全面加强取用水管控。</w:t>
            </w:r>
          </w:p>
        </w:tc>
      </w:tr>
    </w:tbl>
    <w:p w14:paraId="1EC4AA52"/>
    <w:sectPr>
      <w:footerReference r:id="rId5" w:type="default"/>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roman"/>
    <w:pitch w:val="default"/>
    <w:sig w:usb0="00000000" w:usb1="00000000" w:usb2="0000003F" w:usb3="00000000" w:csb0="601F00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537B55">
    <w:pPr>
      <w:widowControl w:val="0"/>
      <w:autoSpaceDE w:val="0"/>
      <w:autoSpaceDN w:val="0"/>
      <w:snapToGrid w:val="0"/>
      <w:spacing w:line="560" w:lineRule="exact"/>
      <w:rPr>
        <w:rFonts w:ascii="Times New Roman" w:hAnsi="Times New Roman" w:eastAsia="仿宋" w:cs="Arial Unicode MS"/>
        <w:sz w:val="28"/>
        <w:szCs w:val="18"/>
        <w:lang w:val="zh-CN" w:eastAsia="zh-CN" w:bidi="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715A68"/>
    <w:rsid w:val="00011E02"/>
    <w:rsid w:val="00086191"/>
    <w:rsid w:val="004E5525"/>
    <w:rsid w:val="00935C6C"/>
    <w:rsid w:val="00936553"/>
    <w:rsid w:val="0096380A"/>
    <w:rsid w:val="032234B3"/>
    <w:rsid w:val="049E1F37"/>
    <w:rsid w:val="057976EB"/>
    <w:rsid w:val="057D743A"/>
    <w:rsid w:val="069D112F"/>
    <w:rsid w:val="08430E0F"/>
    <w:rsid w:val="0A4D5C46"/>
    <w:rsid w:val="0ABB4734"/>
    <w:rsid w:val="0BF5245A"/>
    <w:rsid w:val="0C3A3AA8"/>
    <w:rsid w:val="0C7B63C0"/>
    <w:rsid w:val="0C85098B"/>
    <w:rsid w:val="0CF70C02"/>
    <w:rsid w:val="0E624592"/>
    <w:rsid w:val="0E8C21BA"/>
    <w:rsid w:val="0EF45763"/>
    <w:rsid w:val="0F555DBC"/>
    <w:rsid w:val="0FC71A98"/>
    <w:rsid w:val="12E03024"/>
    <w:rsid w:val="13C30BF9"/>
    <w:rsid w:val="14757D15"/>
    <w:rsid w:val="14F14B90"/>
    <w:rsid w:val="154E26B2"/>
    <w:rsid w:val="156A0342"/>
    <w:rsid w:val="16AD578F"/>
    <w:rsid w:val="18872015"/>
    <w:rsid w:val="1AE71933"/>
    <w:rsid w:val="1D645A40"/>
    <w:rsid w:val="1E2B0FDB"/>
    <w:rsid w:val="1E2E1A92"/>
    <w:rsid w:val="1F5F6CE8"/>
    <w:rsid w:val="1F940113"/>
    <w:rsid w:val="215B41C8"/>
    <w:rsid w:val="21F67A12"/>
    <w:rsid w:val="25861210"/>
    <w:rsid w:val="26221809"/>
    <w:rsid w:val="26C40427"/>
    <w:rsid w:val="27D52B4D"/>
    <w:rsid w:val="280E29C8"/>
    <w:rsid w:val="28DA0C65"/>
    <w:rsid w:val="28E2430B"/>
    <w:rsid w:val="2CFD14DB"/>
    <w:rsid w:val="2DD4637D"/>
    <w:rsid w:val="2DD611BE"/>
    <w:rsid w:val="2E51176D"/>
    <w:rsid w:val="2F6915D5"/>
    <w:rsid w:val="2F7431E9"/>
    <w:rsid w:val="2FCD12F9"/>
    <w:rsid w:val="300F6E18"/>
    <w:rsid w:val="309036F0"/>
    <w:rsid w:val="30FE51AB"/>
    <w:rsid w:val="31E21B60"/>
    <w:rsid w:val="327E020C"/>
    <w:rsid w:val="32F426F8"/>
    <w:rsid w:val="33435378"/>
    <w:rsid w:val="33B80BE5"/>
    <w:rsid w:val="34062C68"/>
    <w:rsid w:val="36070245"/>
    <w:rsid w:val="36C663EC"/>
    <w:rsid w:val="36DD15B7"/>
    <w:rsid w:val="373B74D7"/>
    <w:rsid w:val="37684B3E"/>
    <w:rsid w:val="37735B2C"/>
    <w:rsid w:val="37EF4C44"/>
    <w:rsid w:val="38AD49B0"/>
    <w:rsid w:val="395E5D8F"/>
    <w:rsid w:val="3A32382B"/>
    <w:rsid w:val="3BD52AC5"/>
    <w:rsid w:val="3C5F2ED5"/>
    <w:rsid w:val="3DB74B96"/>
    <w:rsid w:val="3E320C4C"/>
    <w:rsid w:val="446E7333"/>
    <w:rsid w:val="44FC154A"/>
    <w:rsid w:val="4607547B"/>
    <w:rsid w:val="47833F1C"/>
    <w:rsid w:val="47B05FC6"/>
    <w:rsid w:val="47C65D4C"/>
    <w:rsid w:val="4997184B"/>
    <w:rsid w:val="4AA646FE"/>
    <w:rsid w:val="4B073AB3"/>
    <w:rsid w:val="4B8E223E"/>
    <w:rsid w:val="4BED6AFE"/>
    <w:rsid w:val="4D9271F2"/>
    <w:rsid w:val="4FEC4A28"/>
    <w:rsid w:val="509E6DA8"/>
    <w:rsid w:val="51AB52BE"/>
    <w:rsid w:val="539B03B7"/>
    <w:rsid w:val="54331533"/>
    <w:rsid w:val="54715A68"/>
    <w:rsid w:val="57EE371D"/>
    <w:rsid w:val="59332F66"/>
    <w:rsid w:val="595B07BC"/>
    <w:rsid w:val="596142A6"/>
    <w:rsid w:val="597C59BB"/>
    <w:rsid w:val="59800981"/>
    <w:rsid w:val="5AD959A7"/>
    <w:rsid w:val="5B013C29"/>
    <w:rsid w:val="5BF81B50"/>
    <w:rsid w:val="5D891323"/>
    <w:rsid w:val="5DA8469E"/>
    <w:rsid w:val="601D05BB"/>
    <w:rsid w:val="61862AA3"/>
    <w:rsid w:val="61B655F4"/>
    <w:rsid w:val="62A37F14"/>
    <w:rsid w:val="63AC7512"/>
    <w:rsid w:val="645D7336"/>
    <w:rsid w:val="665533E3"/>
    <w:rsid w:val="66DB6398"/>
    <w:rsid w:val="67283D40"/>
    <w:rsid w:val="674B6433"/>
    <w:rsid w:val="67D551B1"/>
    <w:rsid w:val="68554404"/>
    <w:rsid w:val="68586712"/>
    <w:rsid w:val="68C05A41"/>
    <w:rsid w:val="6A295C83"/>
    <w:rsid w:val="6A8E07CA"/>
    <w:rsid w:val="6B405AFC"/>
    <w:rsid w:val="6C343A69"/>
    <w:rsid w:val="6C78280A"/>
    <w:rsid w:val="6D98729E"/>
    <w:rsid w:val="6DDF5B34"/>
    <w:rsid w:val="6E79134A"/>
    <w:rsid w:val="6F254CE6"/>
    <w:rsid w:val="6FCD1397"/>
    <w:rsid w:val="6FE52F9C"/>
    <w:rsid w:val="712C4554"/>
    <w:rsid w:val="72E65246"/>
    <w:rsid w:val="7482297A"/>
    <w:rsid w:val="74E938A0"/>
    <w:rsid w:val="75E83B00"/>
    <w:rsid w:val="76475E55"/>
    <w:rsid w:val="7AC82D5E"/>
    <w:rsid w:val="7B3C7DB9"/>
    <w:rsid w:val="7C2A25DC"/>
    <w:rsid w:val="7CF06EC7"/>
    <w:rsid w:val="7D7A38B1"/>
    <w:rsid w:val="7DEE450A"/>
    <w:rsid w:val="7E2748F9"/>
    <w:rsid w:val="7E95593D"/>
    <w:rsid w:val="7F895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line="560" w:lineRule="exact"/>
    </w:pPr>
    <w:rPr>
      <w:rFonts w:ascii="Times New Roman" w:hAnsi="Times New Roman" w:eastAsia="仿宋" w:cs="Arial Unicode MS"/>
      <w:sz w:val="32"/>
      <w:szCs w:val="22"/>
      <w:lang w:val="zh-CN" w:eastAsia="zh-CN" w:bidi="zh-CN"/>
    </w:rPr>
  </w:style>
  <w:style w:type="paragraph" w:styleId="3">
    <w:name w:val="heading 1"/>
    <w:basedOn w:val="1"/>
    <w:next w:val="1"/>
    <w:qFormat/>
    <w:uiPriority w:val="0"/>
    <w:pPr>
      <w:spacing w:beforeAutospacing="1" w:afterAutospacing="1"/>
      <w:ind w:firstLine="640" w:firstLineChars="200"/>
      <w:outlineLvl w:val="0"/>
    </w:pPr>
    <w:rPr>
      <w:rFonts w:hint="eastAsia" w:ascii="宋体" w:hAnsi="宋体" w:eastAsia="黑体" w:cs="Times New Roman"/>
      <w:kern w:val="44"/>
      <w:szCs w:val="48"/>
      <w:lang w:val="en-US" w:bidi="ar-SA"/>
    </w:rPr>
  </w:style>
  <w:style w:type="paragraph" w:styleId="4">
    <w:name w:val="heading 2"/>
    <w:basedOn w:val="3"/>
    <w:next w:val="1"/>
    <w:semiHidden/>
    <w:unhideWhenUsed/>
    <w:qFormat/>
    <w:uiPriority w:val="0"/>
    <w:pPr>
      <w:keepNext/>
      <w:keepLines/>
      <w:spacing w:beforeAutospacing="0" w:afterAutospacing="0"/>
      <w:outlineLvl w:val="1"/>
    </w:pPr>
    <w:rPr>
      <w:rFonts w:ascii="Times New Roman" w:hAnsi="Times New Roman" w:eastAsia="楷体"/>
      <w:szCs w:val="32"/>
    </w:rPr>
  </w:style>
  <w:style w:type="paragraph" w:styleId="5">
    <w:name w:val="heading 3"/>
    <w:basedOn w:val="1"/>
    <w:next w:val="1"/>
    <w:qFormat/>
    <w:uiPriority w:val="0"/>
    <w:pPr>
      <w:keepNext/>
      <w:keepLines/>
      <w:spacing w:before="60" w:after="60" w:line="400" w:lineRule="exact"/>
      <w:ind w:firstLine="510"/>
      <w:outlineLvl w:val="2"/>
    </w:pPr>
    <w:rPr>
      <w:rFonts w:hint="eastAsia" w:ascii="黑体" w:hAnsi="宋体" w:eastAsia="黑体"/>
      <w:bCs/>
      <w:kern w:val="2"/>
      <w:sz w:val="3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next w:val="1"/>
    <w:qFormat/>
    <w:uiPriority w:val="0"/>
    <w:pPr>
      <w:widowControl w:val="0"/>
      <w:spacing w:after="120" w:line="360" w:lineRule="auto"/>
      <w:ind w:firstLine="600" w:firstLineChars="200"/>
      <w:jc w:val="both"/>
    </w:pPr>
    <w:rPr>
      <w:rFonts w:ascii="Calibri" w:hAnsi="Calibri" w:eastAsiaTheme="minorEastAsia" w:cstheme="minorBidi"/>
      <w:kern w:val="2"/>
      <w:sz w:val="30"/>
      <w:szCs w:val="30"/>
      <w:lang w:val="en-US" w:eastAsia="zh-CN" w:bidi="ar-SA"/>
    </w:rPr>
  </w:style>
  <w:style w:type="paragraph" w:styleId="6">
    <w:name w:val="Normal Indent"/>
    <w:basedOn w:val="1"/>
    <w:qFormat/>
    <w:uiPriority w:val="0"/>
    <w:pPr>
      <w:ind w:firstLine="420" w:firstLineChars="200"/>
    </w:pPr>
  </w:style>
  <w:style w:type="paragraph" w:styleId="7">
    <w:name w:val="Document Map"/>
    <w:basedOn w:val="1"/>
    <w:qFormat/>
    <w:uiPriority w:val="0"/>
    <w:pPr>
      <w:shd w:val="clear" w:color="auto" w:fill="000080"/>
    </w:pPr>
    <w:rPr>
      <w:rFonts w:hAnsiTheme="minorHAnsi" w:eastAsiaTheme="minorEastAsia" w:cstheme="minorBidi"/>
    </w:rPr>
  </w:style>
  <w:style w:type="paragraph" w:styleId="8">
    <w:name w:val="Body Text Indent"/>
    <w:basedOn w:val="1"/>
    <w:next w:val="9"/>
    <w:qFormat/>
    <w:uiPriority w:val="0"/>
    <w:pPr>
      <w:spacing w:line="460" w:lineRule="exact"/>
      <w:ind w:firstLine="510"/>
    </w:pPr>
    <w:rPr>
      <w:szCs w:val="20"/>
    </w:rPr>
  </w:style>
  <w:style w:type="paragraph" w:styleId="9">
    <w:name w:val="envelope return"/>
    <w:basedOn w:val="1"/>
    <w:qFormat/>
    <w:uiPriority w:val="0"/>
    <w:pPr>
      <w:snapToGrid w:val="0"/>
    </w:pPr>
    <w:rPr>
      <w:rFonts w:ascii="Arial" w:hAnsi="Arial"/>
    </w:rPr>
  </w:style>
  <w:style w:type="paragraph" w:styleId="10">
    <w:name w:val="footer"/>
    <w:basedOn w:val="1"/>
    <w:link w:val="19"/>
    <w:qFormat/>
    <w:uiPriority w:val="0"/>
    <w:pPr>
      <w:tabs>
        <w:tab w:val="center" w:pos="4153"/>
        <w:tab w:val="right" w:pos="8306"/>
      </w:tabs>
      <w:snapToGrid w:val="0"/>
    </w:pPr>
    <w:rPr>
      <w:sz w:val="2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rFonts w:hAnsiTheme="minorHAnsi" w:cstheme="minorBidi"/>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Title"/>
    <w:basedOn w:val="1"/>
    <w:qFormat/>
    <w:uiPriority w:val="0"/>
    <w:pPr>
      <w:spacing w:before="240" w:after="60"/>
      <w:jc w:val="center"/>
      <w:outlineLvl w:val="0"/>
    </w:pPr>
    <w:rPr>
      <w:rFonts w:ascii="Arial" w:hAnsi="Arial"/>
      <w:b/>
    </w:rPr>
  </w:style>
  <w:style w:type="paragraph" w:styleId="14">
    <w:name w:val="Body Text First Indent 2"/>
    <w:basedOn w:val="8"/>
    <w:qFormat/>
    <w:uiPriority w:val="0"/>
    <w:pPr>
      <w:spacing w:after="120" w:line="240" w:lineRule="auto"/>
      <w:ind w:left="420" w:leftChars="200" w:firstLine="420" w:firstLineChars="200"/>
    </w:pPr>
    <w:rPr>
      <w:rFonts w:ascii="宋体" w:hAnsiTheme="minorHAnsi" w:eastAsiaTheme="minorEastAsia" w:cstheme="minorBidi"/>
      <w:spacing w:val="-4"/>
      <w:sz w:val="18"/>
      <w:szCs w:val="2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qFormat/>
    <w:uiPriority w:val="99"/>
    <w:rPr>
      <w:rFonts w:ascii="微软雅黑" w:hAnsi="微软雅黑" w:eastAsia="微软雅黑" w:cs="微软雅黑"/>
      <w:color w:val="02396F"/>
      <w:u w:val="single"/>
    </w:rPr>
  </w:style>
  <w:style w:type="character" w:customStyle="1" w:styleId="19">
    <w:name w:val="页脚 字符"/>
    <w:link w:val="10"/>
    <w:qFormat/>
    <w:uiPriority w:val="0"/>
    <w:rPr>
      <w:rFonts w:ascii="仿宋" w:hAnsi="仿宋" w:eastAsia="Arial Unicode MS" w:cs="仿宋"/>
      <w:sz w:val="28"/>
      <w:szCs w:val="18"/>
      <w:lang w:val="zh-CN" w:bidi="zh-CN"/>
    </w:rPr>
  </w:style>
  <w:style w:type="paragraph" w:customStyle="1" w:styleId="20">
    <w:name w:val="正文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
    <w:name w:val="样式 标题 3 + (中文) 黑体 小四 非加粗 段前: 7.8 磅 段后: 0 磅 行距: 固定值 20 磅"/>
    <w:basedOn w:val="5"/>
    <w:qFormat/>
    <w:uiPriority w:val="0"/>
    <w:pPr>
      <w:spacing w:before="0" w:after="0"/>
      <w:ind w:firstLine="0"/>
    </w:pPr>
    <w:rPr>
      <w:rFonts w:hint="default" w:ascii="Times New Roman" w:hAnsi="Times New Roman" w:cs="宋体"/>
      <w:bCs w:val="0"/>
      <w:sz w:val="24"/>
    </w:rPr>
  </w:style>
  <w:style w:type="paragraph" w:customStyle="1" w:styleId="22">
    <w:name w:val="正文_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云南省水利厅</Company>
  <Pages>7</Pages>
  <Words>1173</Words>
  <Characters>1196</Characters>
  <Lines>74</Lines>
  <Paragraphs>20</Paragraphs>
  <TotalTime>26</TotalTime>
  <ScaleCrop>false</ScaleCrop>
  <LinksUpToDate>false</LinksUpToDate>
  <CharactersWithSpaces>1278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2025-03-31T06:08:00Z</dcterms:created>
  <dc:creator>熊瑊</dc:creator>
  <cp:lastModifiedBy>杨希娴</cp:lastModifiedBy>
  <dcterms:modified xsi:type="dcterms:W3CDTF">2025-06-18T10:10:22Z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2EE5B884D64D41618D61210B8AF37E4B_13</vt:lpwstr>
  </property>
  <property fmtid="{D5CDD505-2E9C-101B-9397-08002B2CF9AE}" pid="4" name="KSOTemplateDocerSaveRecord">
    <vt:lpwstr>eyJoZGlkIjoiNDNiNjQ5MTFmMjc0Mzc1ZmJhMDk0MDYwYTJkZDQ0ODMiLCJ1c2VySWQiOiIyMTQ1OTg3NTYifQ==</vt:lpwstr>
  </property>
</Properties>
</file>