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         </w:t>
      </w:r>
      <w:r>
        <w:rPr>
          <w:rFonts w:hint="default" w:ascii="Times New Roman" w:hAnsi="Times New Roman" w:eastAsia="宋体" w:cs="Times New Roman"/>
          <w:sz w:val="36"/>
          <w:szCs w:val="36"/>
        </w:rPr>
        <w:t>云南省水利厅</w:t>
      </w:r>
      <w:r>
        <w:rPr>
          <w:rFonts w:hint="eastAsia" w:ascii="Times New Roman" w:hAnsi="Times New Roman" w:eastAsia="宋体" w:cs="Times New Roman"/>
          <w:sz w:val="36"/>
          <w:szCs w:val="36"/>
          <w:lang w:eastAsia="zh-CN"/>
        </w:rPr>
        <w:t>水利工程安全生产</w:t>
      </w:r>
      <w:r>
        <w:rPr>
          <w:rFonts w:hint="default" w:ascii="Times New Roman" w:hAnsi="Times New Roman" w:eastAsia="宋体" w:cs="Times New Roman"/>
          <w:sz w:val="36"/>
          <w:szCs w:val="36"/>
        </w:rPr>
        <w:t>双随机抽查结果公开表</w:t>
      </w:r>
    </w:p>
    <w:tbl>
      <w:tblPr>
        <w:tblStyle w:val="4"/>
        <w:tblW w:w="14958" w:type="dxa"/>
        <w:tblInd w:w="-1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927"/>
        <w:gridCol w:w="1355"/>
        <w:gridCol w:w="1734"/>
        <w:gridCol w:w="1500"/>
        <w:gridCol w:w="3396"/>
        <w:gridCol w:w="5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序号</w:t>
            </w: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抽查部门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抽查对象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企业注册或统一社会信用代码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抽查时间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抽查项目及内容</w:t>
            </w:r>
          </w:p>
        </w:tc>
        <w:tc>
          <w:tcPr>
            <w:tcW w:w="5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抽查结果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3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云南省水利厅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曲靖市车马碧水库工程建设管理局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12530300346721825D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日</w:t>
            </w:r>
          </w:p>
        </w:tc>
        <w:tc>
          <w:tcPr>
            <w:tcW w:w="3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333333"/>
                <w:kern w:val="0"/>
                <w:sz w:val="24"/>
                <w:szCs w:val="24"/>
                <w:shd w:val="clear" w:color="auto" w:fill="FFFFFF"/>
              </w:rPr>
              <w:t>抽查项目：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  <w:t>对水利工程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24"/>
                <w:szCs w:val="24"/>
                <w:shd w:val="clear" w:color="auto" w:fill="FFFFFF"/>
                <w:lang w:eastAsia="zh-CN"/>
              </w:rPr>
              <w:t>安全生产的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  <w:t>抽查。</w:t>
            </w:r>
          </w:p>
          <w:p>
            <w:pPr>
              <w:rPr>
                <w:rFonts w:hint="default" w:ascii="Times New Roman" w:hAnsi="Times New Roman" w:eastAsia="宋体" w:cs="Times New Roman"/>
                <w:b/>
                <w:bCs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333333"/>
                <w:kern w:val="0"/>
                <w:sz w:val="24"/>
                <w:szCs w:val="24"/>
                <w:shd w:val="clear" w:color="auto" w:fill="FFFFFF"/>
              </w:rPr>
              <w:t>抽查内容：</w:t>
            </w:r>
          </w:p>
          <w:p>
            <w:pPr>
              <w:ind w:firstLine="480" w:firstLineChars="2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24"/>
                <w:szCs w:val="24"/>
                <w:shd w:val="clear" w:color="auto" w:fill="FFFFFF"/>
              </w:rPr>
              <w:t>水利生产经营单位许可证照、水利安全生产专项检查隐患排查治理和信息系统填报、安全生产条件、作业标准（规程）、安全教育培训、施工企业“三类人员”（企业主要负责人、项目负责人、专职安全生产管理人员）、特种作业人员持证上岗、重大隐患整改和危险源监控、水利安全生产标准化建设、安全生产规章制度和操作规程、安全生产责任制落实、应急能力建设、安全生产档案资料（专项检查记录、会议记录、培训记录、危险源登记、应急预案及演练）等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24"/>
                <w:szCs w:val="24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5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333333"/>
                <w:kern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21"/>
                <w:szCs w:val="21"/>
                <w:shd w:val="clear" w:color="auto" w:fill="FFFFFF"/>
                <w:lang w:val="en-US" w:eastAsia="zh-CN"/>
              </w:rPr>
              <w:t>（一）大坝枢纽</w:t>
            </w:r>
          </w:p>
          <w:p>
            <w:pPr>
              <w:rPr>
                <w:rFonts w:hint="default" w:ascii="Times New Roman" w:hAnsi="Times New Roman" w:eastAsia="宋体" w:cs="Times New Roman"/>
                <w:color w:val="333333"/>
                <w:kern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21"/>
                <w:szCs w:val="21"/>
                <w:shd w:val="clear" w:color="auto" w:fill="FFFFFF"/>
                <w:lang w:val="en-US" w:eastAsia="zh-CN"/>
              </w:rPr>
              <w:t>1.落地式脚手架步距跨距不符合方案规定；2.扫地杆的小横杆设置，局部区域不符合规范要求（应≤200mm）；3.脚手架的外立面未设置剪力撑，局部立杆悬空；4.脚手架的外立面未采用密目式安全立网进行连续封闭；5.钢模板吊耳违规使用螺纹钢焊接，钢丝绳吊素绳卡的数量设置不足，绳卡间距不符合≥6D（钢丝绳直径）的规定；6.局部临边防护不到位；7.钢筋加工场临时用电线路布设不符合规范规定（与金属可导电体或金属钝口接触处无绝缘保护和防止机械损伤措施）；8.脚手架搭设工杨兰春、杨顺序未持证上岗。</w:t>
            </w:r>
          </w:p>
          <w:p>
            <w:pPr>
              <w:rPr>
                <w:rFonts w:hint="default" w:ascii="Times New Roman" w:hAnsi="Times New Roman" w:eastAsia="宋体" w:cs="Times New Roman"/>
                <w:color w:val="333333"/>
                <w:kern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21"/>
                <w:szCs w:val="21"/>
                <w:shd w:val="clear" w:color="auto" w:fill="FFFFFF"/>
                <w:lang w:val="en-US" w:eastAsia="zh-CN"/>
              </w:rPr>
              <w:t>（二）5#支洞</w:t>
            </w:r>
          </w:p>
          <w:p>
            <w:pPr>
              <w:rPr>
                <w:rFonts w:hint="default" w:ascii="Times New Roman" w:hAnsi="Times New Roman" w:eastAsia="宋体" w:cs="Times New Roman"/>
                <w:color w:val="333333"/>
                <w:kern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21"/>
                <w:szCs w:val="21"/>
                <w:shd w:val="clear" w:color="auto" w:fill="FFFFFF"/>
                <w:lang w:val="en-US" w:eastAsia="zh-CN"/>
              </w:rPr>
              <w:t>1.洞口处施工用电分配电箱摆放位置不符合环境安全的规则；2.矿渣提升机出料台局部的临边防护不到位；3.锥形砼搅拌机未设置末级开关箱；4.矿洞提升机司机未持上岗证。</w:t>
            </w:r>
          </w:p>
          <w:p>
            <w:pPr>
              <w:rPr>
                <w:rFonts w:hint="default" w:ascii="Times New Roman" w:hAnsi="Times New Roman" w:eastAsia="宋体" w:cs="Times New Roman"/>
                <w:color w:val="333333"/>
                <w:kern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21"/>
                <w:szCs w:val="21"/>
                <w:shd w:val="clear" w:color="auto" w:fill="FFFFFF"/>
                <w:lang w:val="en-US" w:eastAsia="zh-CN"/>
              </w:rPr>
              <w:t>（三）输水隧洞出口</w:t>
            </w:r>
          </w:p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21"/>
                <w:szCs w:val="21"/>
                <w:shd w:val="clear" w:color="auto" w:fill="FFFFFF"/>
                <w:lang w:val="en-US" w:eastAsia="zh-CN"/>
              </w:rPr>
              <w:t>1.进洞临时用电的分配电箱安装高度不符合规定（中心距地面的垂直距离应≤1.6m）；2.临边防护栏的设置与坑边的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 w:val="21"/>
                <w:szCs w:val="21"/>
                <w:shd w:val="clear" w:color="auto" w:fill="FFFFFF"/>
                <w:lang w:val="en-US" w:eastAsia="zh-CN"/>
              </w:rPr>
              <w:t>距离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21"/>
                <w:szCs w:val="21"/>
                <w:shd w:val="clear" w:color="auto" w:fill="FFFFFF"/>
                <w:lang w:val="en-US" w:eastAsia="zh-CN"/>
              </w:rPr>
              <w:t>不符合≥500mm的规定；3.防护栏杆立杆的间距不符合≤200mm的规定。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cs="Times New Roman"/>
        </w:rPr>
      </w:pPr>
    </w:p>
    <w:p/>
    <w:sectPr>
      <w:pgSz w:w="16838" w:h="11906" w:orient="landscape"/>
      <w:pgMar w:top="1417" w:right="1247" w:bottom="1417" w:left="1247" w:header="851" w:footer="992" w:gutter="0"/>
      <w:paperSrc/>
      <w:cols w:space="0" w:num="1"/>
      <w:rtlGutter w:val="0"/>
      <w:docGrid w:type="lines"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Hei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altName w:val="Vrinda"/>
    <w:panose1 w:val="02000400000000000000"/>
    <w:charset w:val="00"/>
    <w:family w:val="auto"/>
    <w:pitch w:val="default"/>
    <w:sig w:usb0="00000000" w:usb1="00000000" w:usb2="00000000" w:usb3="00000000" w:csb0="00000001" w:csb1="00000000"/>
  </w:font>
  <w:font w:name="Adobe 仿宋 Std R">
    <w:altName w:val="仿宋"/>
    <w:panose1 w:val="02020400000000000000"/>
    <w:charset w:val="86"/>
    <w:family w:val="auto"/>
    <w:pitch w:val="default"/>
    <w:sig w:usb0="00000000" w:usb1="00000000" w:usb2="00000016" w:usb3="00000000" w:csb0="00060007" w:csb1="00000000"/>
  </w:font>
  <w:font w:name="Adobe Myungjo Std M">
    <w:altName w:val="MS PMincho"/>
    <w:panose1 w:val="02020600000000000000"/>
    <w:charset w:val="80"/>
    <w:family w:val="auto"/>
    <w:pitch w:val="default"/>
    <w:sig w:usb0="00000000" w:usb1="00000000" w:usb2="00000010" w:usb3="00000000" w:csb0="602A0005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Adobe 明體 Std L">
    <w:altName w:val="PMingLiU-ExtB"/>
    <w:panose1 w:val="02020300000000000000"/>
    <w:charset w:val="88"/>
    <w:family w:val="auto"/>
    <w:pitch w:val="default"/>
    <w:sig w:usb0="00000000" w:usb1="00000000" w:usb2="00000016" w:usb3="00000000" w:csb0="00120005" w:csb1="00000000"/>
  </w:font>
  <w:font w:name="Adobe Gothic Std B">
    <w:altName w:val="MS UI Gothic"/>
    <w:panose1 w:val="020B0800000000000000"/>
    <w:charset w:val="80"/>
    <w:family w:val="auto"/>
    <w:pitch w:val="default"/>
    <w:sig w:usb0="00000000" w:usb1="00000000" w:usb2="00000010" w:usb3="00000000" w:csb0="602A0005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Eras Light ITC">
    <w:altName w:val="Segoe Print"/>
    <w:panose1 w:val="020B0402030504020804"/>
    <w:charset w:val="00"/>
    <w:family w:val="auto"/>
    <w:pitch w:val="default"/>
    <w:sig w:usb0="00000000" w:usb1="00000000" w:usb2="00000000" w:usb3="00000000" w:csb0="20000001" w:csb1="0000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方正大黑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62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1834F4"/>
    <w:rsid w:val="0A1834F4"/>
    <w:rsid w:val="509B543A"/>
    <w:rsid w:val="671E2672"/>
    <w:rsid w:val="7A6A1704"/>
    <w:rsid w:val="7C42769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云南省水利厅</Company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2019-03-26T06:32:00Z</dcterms:created>
  <dc:creator>杨鹏嗣</dc:creator>
  <cp:lastModifiedBy>杨鹏嗣</cp:lastModifiedBy>
  <cp:lastPrinted>2019-04-02T09:22:42Z</cp:lastPrinted>
  <dcterms:modified xsi:type="dcterms:W3CDTF">2019-04-02T09:25:10Z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