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宋体" w:hAnsi="宋体"/>
          <w:b/>
          <w:bCs/>
          <w:sz w:val="32"/>
          <w:szCs w:val="32"/>
        </w:rPr>
      </w:pPr>
      <w:r>
        <w:rPr>
          <w:rFonts w:hint="eastAsia" w:ascii="宋体" w:hAnsi="宋体"/>
          <w:b/>
          <w:bCs/>
          <w:sz w:val="32"/>
          <w:szCs w:val="32"/>
        </w:rPr>
        <w:t xml:space="preserve">附件1 </w:t>
      </w:r>
    </w:p>
    <w:p>
      <w:pPr>
        <w:rPr>
          <w:rFonts w:ascii="宋体" w:hAnsi="宋体"/>
        </w:rPr>
      </w:pPr>
      <w:r>
        <w:rPr>
          <w:rFonts w:hint="eastAsia" w:ascii="宋体" w:hAnsi="宋体"/>
        </w:rPr>
        <w:t xml:space="preserve"> </w:t>
      </w:r>
    </w:p>
    <w:p>
      <w:pPr>
        <w:rPr>
          <w:rFonts w:ascii="宋体" w:hAnsi="宋体"/>
        </w:rPr>
      </w:pPr>
      <w:r>
        <w:rPr>
          <w:rFonts w:hint="eastAsia" w:ascii="宋体" w:hAnsi="宋体"/>
        </w:rPr>
        <w:t xml:space="preserve"> </w:t>
      </w:r>
    </w:p>
    <w:p>
      <w:pPr>
        <w:rPr>
          <w:rFonts w:ascii="宋体" w:hAnsi="宋体"/>
        </w:rPr>
      </w:pPr>
    </w:p>
    <w:p>
      <w:pPr>
        <w:rPr>
          <w:rFonts w:ascii="宋体" w:hAnsi="宋体"/>
        </w:rPr>
      </w:pPr>
      <w:r>
        <w:rPr>
          <w:rFonts w:hint="eastAsia" w:ascii="宋体" w:hAnsi="宋体"/>
        </w:rPr>
        <w:t xml:space="preserve"> </w:t>
      </w:r>
    </w:p>
    <w:p>
      <w:pPr>
        <w:pStyle w:val="6"/>
        <w:widowControl w:val="0"/>
        <w:spacing w:before="0" w:beforeAutospacing="0" w:after="0" w:afterAutospacing="0"/>
        <w:rPr>
          <w:rFonts w:ascii="黑体" w:hAnsi="黑体" w:eastAsia="黑体" w:cs="Times New Roman"/>
          <w:bCs w:val="0"/>
          <w:kern w:val="2"/>
          <w:sz w:val="52"/>
          <w:szCs w:val="52"/>
        </w:rPr>
      </w:pPr>
      <w:r>
        <w:rPr>
          <w:rFonts w:hint="eastAsia" w:ascii="黑体" w:hAnsi="黑体" w:eastAsia="黑体" w:cs="Times New Roman"/>
          <w:bCs w:val="0"/>
          <w:kern w:val="2"/>
          <w:sz w:val="52"/>
          <w:szCs w:val="52"/>
        </w:rPr>
        <w:t>云南省专用水文测站水文监测活动</w:t>
      </w:r>
    </w:p>
    <w:p>
      <w:pPr>
        <w:pStyle w:val="6"/>
        <w:widowControl w:val="0"/>
        <w:spacing w:before="0" w:beforeAutospacing="0" w:after="0" w:afterAutospacing="0"/>
        <w:rPr>
          <w:rFonts w:ascii="黑体" w:hAnsi="黑体" w:eastAsia="黑体"/>
          <w:kern w:val="2"/>
          <w:sz w:val="52"/>
          <w:szCs w:val="52"/>
        </w:rPr>
      </w:pPr>
      <w:r>
        <w:rPr>
          <w:rFonts w:hint="eastAsia" w:ascii="黑体" w:hAnsi="黑体" w:eastAsia="黑体" w:cs="Times New Roman"/>
          <w:bCs w:val="0"/>
          <w:kern w:val="2"/>
          <w:sz w:val="52"/>
          <w:szCs w:val="52"/>
        </w:rPr>
        <w:t>随机检查表</w:t>
      </w:r>
    </w:p>
    <w:p>
      <w:pPr>
        <w:jc w:val="center"/>
        <w:rPr>
          <w:rFonts w:ascii="宋体" w:hAnsi="宋体"/>
          <w:b/>
          <w:bCs/>
          <w:sz w:val="48"/>
          <w:szCs w:val="48"/>
        </w:rPr>
      </w:pPr>
      <w:r>
        <w:rPr>
          <w:rFonts w:hint="eastAsia" w:ascii="宋体" w:hAnsi="宋体"/>
          <w:b/>
          <w:bCs/>
          <w:sz w:val="48"/>
          <w:szCs w:val="48"/>
        </w:rPr>
        <w:t xml:space="preserve"> </w:t>
      </w:r>
    </w:p>
    <w:p>
      <w:pPr>
        <w:jc w:val="center"/>
        <w:rPr>
          <w:rFonts w:ascii="宋体" w:hAnsi="宋体"/>
          <w:b/>
          <w:bCs/>
          <w:sz w:val="48"/>
          <w:szCs w:val="48"/>
        </w:rPr>
      </w:pPr>
      <w:r>
        <w:rPr>
          <w:rFonts w:hint="eastAsia" w:ascii="宋体" w:hAnsi="宋体"/>
          <w:b/>
          <w:bCs/>
          <w:sz w:val="48"/>
          <w:szCs w:val="48"/>
        </w:rPr>
        <w:t xml:space="preserve"> </w:t>
      </w:r>
    </w:p>
    <w:p>
      <w:pPr>
        <w:jc w:val="center"/>
        <w:rPr>
          <w:rFonts w:ascii="宋体" w:hAnsi="宋体"/>
          <w:b/>
          <w:bCs/>
          <w:sz w:val="48"/>
          <w:szCs w:val="48"/>
        </w:rPr>
      </w:pPr>
      <w:r>
        <w:rPr>
          <w:rFonts w:hint="eastAsia" w:ascii="宋体" w:hAnsi="宋体"/>
          <w:b/>
          <w:bCs/>
          <w:sz w:val="48"/>
          <w:szCs w:val="48"/>
        </w:rPr>
        <w:t xml:space="preserve"> </w:t>
      </w:r>
    </w:p>
    <w:p>
      <w:pPr>
        <w:jc w:val="center"/>
        <w:rPr>
          <w:rFonts w:ascii="宋体" w:hAnsi="宋体"/>
          <w:b/>
          <w:bCs/>
          <w:sz w:val="48"/>
          <w:szCs w:val="48"/>
        </w:rPr>
      </w:pPr>
      <w:r>
        <w:rPr>
          <w:rFonts w:hint="eastAsia" w:ascii="宋体" w:hAnsi="宋体"/>
          <w:b/>
          <w:bCs/>
          <w:sz w:val="48"/>
          <w:szCs w:val="48"/>
        </w:rPr>
        <w:t xml:space="preserve"> </w:t>
      </w:r>
    </w:p>
    <w:p>
      <w:pPr>
        <w:jc w:val="center"/>
        <w:rPr>
          <w:rFonts w:ascii="宋体" w:hAnsi="宋体"/>
          <w:b/>
          <w:bCs/>
          <w:sz w:val="48"/>
          <w:szCs w:val="48"/>
        </w:rPr>
      </w:pPr>
      <w:r>
        <w:rPr>
          <w:rFonts w:hint="eastAsia" w:ascii="宋体" w:hAnsi="宋体"/>
          <w:b/>
          <w:bCs/>
          <w:sz w:val="48"/>
          <w:szCs w:val="48"/>
        </w:rPr>
        <w:t xml:space="preserve"> </w:t>
      </w:r>
    </w:p>
    <w:p>
      <w:pPr>
        <w:jc w:val="center"/>
        <w:rPr>
          <w:rFonts w:ascii="宋体" w:hAnsi="宋体"/>
          <w:b/>
          <w:bCs/>
          <w:sz w:val="48"/>
          <w:szCs w:val="48"/>
        </w:rPr>
      </w:pPr>
      <w:r>
        <w:rPr>
          <w:rFonts w:hint="eastAsia" w:ascii="宋体" w:hAnsi="宋体"/>
          <w:b/>
          <w:bCs/>
          <w:sz w:val="48"/>
          <w:szCs w:val="48"/>
        </w:rPr>
        <w:t xml:space="preserve"> </w:t>
      </w:r>
    </w:p>
    <w:p>
      <w:pPr>
        <w:jc w:val="center"/>
        <w:rPr>
          <w:rFonts w:ascii="宋体" w:hAnsi="宋体"/>
          <w:b/>
          <w:bCs/>
          <w:sz w:val="48"/>
          <w:szCs w:val="48"/>
        </w:rPr>
      </w:pPr>
    </w:p>
    <w:p>
      <w:pPr>
        <w:jc w:val="center"/>
        <w:rPr>
          <w:rFonts w:ascii="宋体" w:hAnsi="宋体"/>
          <w:b/>
          <w:bCs/>
          <w:sz w:val="48"/>
          <w:szCs w:val="48"/>
        </w:rPr>
      </w:pPr>
    </w:p>
    <w:p>
      <w:pPr>
        <w:jc w:val="center"/>
        <w:rPr>
          <w:rFonts w:ascii="宋体" w:hAnsi="宋体"/>
          <w:b/>
          <w:bCs/>
          <w:sz w:val="48"/>
          <w:szCs w:val="48"/>
        </w:rPr>
      </w:pPr>
      <w:bookmarkStart w:id="0" w:name="_GoBack"/>
      <w:bookmarkEnd w:id="0"/>
    </w:p>
    <w:p>
      <w:pPr>
        <w:jc w:val="center"/>
        <w:rPr>
          <w:rFonts w:ascii="宋体" w:hAnsi="宋体"/>
          <w:b/>
          <w:bCs/>
          <w:sz w:val="48"/>
          <w:szCs w:val="48"/>
        </w:rPr>
      </w:pPr>
    </w:p>
    <w:p>
      <w:pPr>
        <w:jc w:val="center"/>
        <w:rPr>
          <w:rFonts w:ascii="宋体" w:hAnsi="宋体"/>
          <w:b/>
          <w:bCs/>
          <w:sz w:val="48"/>
          <w:szCs w:val="48"/>
        </w:rPr>
      </w:pPr>
    </w:p>
    <w:p>
      <w:pPr>
        <w:jc w:val="center"/>
        <w:rPr>
          <w:rFonts w:ascii="宋体" w:hAnsi="宋体"/>
          <w:b/>
          <w:bCs/>
          <w:sz w:val="48"/>
          <w:szCs w:val="48"/>
        </w:rPr>
      </w:pPr>
      <w:r>
        <w:rPr>
          <w:rFonts w:hint="eastAsia" w:ascii="宋体" w:hAnsi="宋体"/>
          <w:b/>
          <w:bCs/>
          <w:sz w:val="48"/>
          <w:szCs w:val="48"/>
        </w:rPr>
        <w:t xml:space="preserve"> </w:t>
      </w:r>
    </w:p>
    <w:p>
      <w:pPr>
        <w:pStyle w:val="6"/>
        <w:widowControl w:val="0"/>
        <w:spacing w:before="0" w:beforeAutospacing="0" w:after="0" w:afterAutospacing="0"/>
        <w:rPr>
          <w:rFonts w:ascii="Times New Roman" w:hAnsi="Times New Roman"/>
          <w:kern w:val="2"/>
        </w:rPr>
      </w:pPr>
      <w:r>
        <w:rPr>
          <w:rFonts w:hint="eastAsia" w:ascii="Times New Roman" w:hAnsi="Times New Roman"/>
          <w:kern w:val="2"/>
        </w:rPr>
        <w:t xml:space="preserve"> </w:t>
      </w:r>
    </w:p>
    <w:p>
      <w:pPr>
        <w:ind w:firstLine="1275" w:firstLineChars="397"/>
        <w:rPr>
          <w:rFonts w:ascii="宋体" w:hAnsi="宋体"/>
          <w:b/>
          <w:sz w:val="32"/>
          <w:szCs w:val="32"/>
        </w:rPr>
      </w:pPr>
      <w:r>
        <w:rPr>
          <w:rFonts w:hint="eastAsia" w:ascii="宋体" w:hAnsi="宋体"/>
          <w:b/>
          <w:sz w:val="32"/>
          <w:szCs w:val="32"/>
        </w:rPr>
        <w:t>受检单位：玉溪市中心城区水资源调度管理局</w:t>
      </w:r>
    </w:p>
    <w:p>
      <w:pPr>
        <w:ind w:left="1680" w:leftChars="600" w:firstLine="2136" w:firstLineChars="665"/>
        <w:rPr>
          <w:rFonts w:ascii="宋体" w:hAnsi="宋体"/>
          <w:b/>
          <w:sz w:val="32"/>
          <w:szCs w:val="32"/>
        </w:rPr>
      </w:pPr>
      <w:r>
        <w:rPr>
          <w:rFonts w:hint="eastAsia" w:ascii="宋体" w:hAnsi="宋体"/>
          <w:b/>
          <w:sz w:val="32"/>
          <w:szCs w:val="32"/>
        </w:rPr>
        <w:t xml:space="preserve"> </w:t>
      </w:r>
    </w:p>
    <w:p>
      <w:pPr>
        <w:ind w:firstLine="1275" w:firstLineChars="397"/>
        <w:rPr>
          <w:rFonts w:ascii="宋体" w:hAnsi="宋体"/>
          <w:b/>
          <w:sz w:val="32"/>
          <w:szCs w:val="32"/>
        </w:rPr>
      </w:pPr>
      <w:r>
        <w:rPr>
          <w:rFonts w:hint="eastAsia" w:ascii="宋体" w:hAnsi="宋体"/>
          <w:b/>
          <w:sz w:val="32"/>
          <w:szCs w:val="32"/>
        </w:rPr>
        <w:t>检查时间：2019年11月25日</w:t>
      </w:r>
    </w:p>
    <w:p>
      <w:pPr>
        <w:widowControl/>
        <w:jc w:val="left"/>
        <w:rPr>
          <w:rFonts w:ascii="宋体" w:hAnsi="宋体"/>
          <w:b/>
          <w:sz w:val="32"/>
          <w:szCs w:val="32"/>
        </w:rPr>
      </w:pPr>
      <w:r>
        <w:rPr>
          <w:rFonts w:ascii="宋体" w:hAnsi="宋体"/>
          <w:b/>
          <w:sz w:val="32"/>
          <w:szCs w:val="32"/>
        </w:rPr>
        <w:br w:type="page"/>
      </w:r>
    </w:p>
    <w:tbl>
      <w:tblPr>
        <w:tblStyle w:val="5"/>
        <w:tblW w:w="9371" w:type="dxa"/>
        <w:tblInd w:w="93" w:type="dxa"/>
        <w:tblLayout w:type="fixed"/>
        <w:tblCellMar>
          <w:top w:w="15" w:type="dxa"/>
          <w:left w:w="108" w:type="dxa"/>
          <w:bottom w:w="15" w:type="dxa"/>
          <w:right w:w="108" w:type="dxa"/>
        </w:tblCellMar>
      </w:tblPr>
      <w:tblGrid>
        <w:gridCol w:w="715"/>
        <w:gridCol w:w="1285"/>
        <w:gridCol w:w="742"/>
        <w:gridCol w:w="884"/>
        <w:gridCol w:w="1654"/>
        <w:gridCol w:w="1504"/>
        <w:gridCol w:w="42"/>
        <w:gridCol w:w="517"/>
        <w:gridCol w:w="752"/>
        <w:gridCol w:w="1276"/>
      </w:tblGrid>
      <w:tr>
        <w:tblPrEx>
          <w:tblLayout w:type="fixed"/>
          <w:tblCellMar>
            <w:top w:w="15" w:type="dxa"/>
            <w:left w:w="108" w:type="dxa"/>
            <w:bottom w:w="15" w:type="dxa"/>
            <w:right w:w="108" w:type="dxa"/>
          </w:tblCellMar>
        </w:tblPrEx>
        <w:trPr>
          <w:trHeight w:val="510" w:hRule="atLeast"/>
        </w:trPr>
        <w:tc>
          <w:tcPr>
            <w:tcW w:w="9371" w:type="dxa"/>
            <w:gridSpan w:val="10"/>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管理单位及专用水文测站基本情况</w:t>
            </w:r>
          </w:p>
        </w:tc>
      </w:tr>
      <w:tr>
        <w:tblPrEx>
          <w:tblLayout w:type="fixed"/>
          <w:tblCellMar>
            <w:top w:w="15" w:type="dxa"/>
            <w:left w:w="108" w:type="dxa"/>
            <w:bottom w:w="15" w:type="dxa"/>
            <w:right w:w="108" w:type="dxa"/>
          </w:tblCellMar>
        </w:tblPrEx>
        <w:trPr>
          <w:trHeight w:val="450" w:hRule="atLeast"/>
        </w:trPr>
        <w:tc>
          <w:tcPr>
            <w:tcW w:w="7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专用水文测站管理 单位基本 情况</w:t>
            </w:r>
          </w:p>
        </w:tc>
        <w:tc>
          <w:tcPr>
            <w:tcW w:w="128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单位名称</w:t>
            </w:r>
          </w:p>
        </w:tc>
        <w:tc>
          <w:tcPr>
            <w:tcW w:w="7371" w:type="dxa"/>
            <w:gridSpan w:val="8"/>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玉溪市中心城区水资源调度管理局</w:t>
            </w:r>
          </w:p>
        </w:tc>
      </w:tr>
      <w:tr>
        <w:tblPrEx>
          <w:tblLayout w:type="fixed"/>
          <w:tblCellMar>
            <w:top w:w="15" w:type="dxa"/>
            <w:left w:w="108" w:type="dxa"/>
            <w:bottom w:w="15" w:type="dxa"/>
            <w:right w:w="108" w:type="dxa"/>
          </w:tblCellMar>
        </w:tblPrEx>
        <w:trPr>
          <w:trHeight w:val="510" w:hRule="atLeast"/>
        </w:trPr>
        <w:tc>
          <w:tcPr>
            <w:tcW w:w="7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1"/>
                <w:szCs w:val="21"/>
              </w:rPr>
            </w:pPr>
          </w:p>
        </w:tc>
        <w:tc>
          <w:tcPr>
            <w:tcW w:w="128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单位性质</w:t>
            </w:r>
          </w:p>
        </w:tc>
        <w:tc>
          <w:tcPr>
            <w:tcW w:w="16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事业</w:t>
            </w:r>
          </w:p>
        </w:tc>
        <w:tc>
          <w:tcPr>
            <w:tcW w:w="1654" w:type="dxa"/>
            <w:tcBorders>
              <w:top w:val="single" w:color="000000" w:sz="4" w:space="0"/>
              <w:left w:val="single" w:color="000000" w:sz="4" w:space="0"/>
              <w:bottom w:val="single" w:color="000000"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企业注册或统一</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社会信用代码</w:t>
            </w:r>
          </w:p>
        </w:tc>
        <w:tc>
          <w:tcPr>
            <w:tcW w:w="4091" w:type="dxa"/>
            <w:gridSpan w:val="5"/>
            <w:tcBorders>
              <w:top w:val="single" w:color="000000" w:sz="4" w:space="0"/>
              <w:left w:val="single" w:color="auto"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12530400753550373W</w:t>
            </w:r>
          </w:p>
        </w:tc>
      </w:tr>
      <w:tr>
        <w:tblPrEx>
          <w:tblLayout w:type="fixed"/>
          <w:tblCellMar>
            <w:top w:w="15" w:type="dxa"/>
            <w:left w:w="108" w:type="dxa"/>
            <w:bottom w:w="15" w:type="dxa"/>
            <w:right w:w="108" w:type="dxa"/>
          </w:tblCellMar>
        </w:tblPrEx>
        <w:trPr>
          <w:trHeight w:val="450" w:hRule="atLeast"/>
        </w:trPr>
        <w:tc>
          <w:tcPr>
            <w:tcW w:w="7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1"/>
                <w:szCs w:val="21"/>
              </w:rPr>
            </w:pPr>
          </w:p>
        </w:tc>
        <w:tc>
          <w:tcPr>
            <w:tcW w:w="128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法人代表</w:t>
            </w:r>
          </w:p>
        </w:tc>
        <w:tc>
          <w:tcPr>
            <w:tcW w:w="16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李吉友</w:t>
            </w:r>
          </w:p>
        </w:tc>
        <w:tc>
          <w:tcPr>
            <w:tcW w:w="1654" w:type="dxa"/>
            <w:tcBorders>
              <w:top w:val="single" w:color="000000" w:sz="4" w:space="0"/>
              <w:left w:val="single" w:color="000000" w:sz="4" w:space="0"/>
              <w:bottom w:val="single" w:color="000000" w:sz="4" w:space="0"/>
              <w:right w:val="single" w:color="auto"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联 系 人</w:t>
            </w:r>
          </w:p>
        </w:tc>
        <w:tc>
          <w:tcPr>
            <w:tcW w:w="4091" w:type="dxa"/>
            <w:gridSpan w:val="5"/>
            <w:tcBorders>
              <w:top w:val="single" w:color="000000" w:sz="4" w:space="0"/>
              <w:left w:val="single" w:color="auto"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张帆</w:t>
            </w:r>
          </w:p>
        </w:tc>
      </w:tr>
      <w:tr>
        <w:tblPrEx>
          <w:tblLayout w:type="fixed"/>
          <w:tblCellMar>
            <w:top w:w="15" w:type="dxa"/>
            <w:left w:w="108" w:type="dxa"/>
            <w:bottom w:w="15" w:type="dxa"/>
            <w:right w:w="108" w:type="dxa"/>
          </w:tblCellMar>
        </w:tblPrEx>
        <w:trPr>
          <w:trHeight w:val="450" w:hRule="atLeast"/>
        </w:trPr>
        <w:tc>
          <w:tcPr>
            <w:tcW w:w="7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1"/>
                <w:szCs w:val="21"/>
              </w:rPr>
            </w:pPr>
          </w:p>
        </w:tc>
        <w:tc>
          <w:tcPr>
            <w:tcW w:w="128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联系电话</w:t>
            </w:r>
          </w:p>
        </w:tc>
        <w:tc>
          <w:tcPr>
            <w:tcW w:w="16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0877-2681389</w:t>
            </w:r>
          </w:p>
        </w:tc>
        <w:tc>
          <w:tcPr>
            <w:tcW w:w="165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传  真</w:t>
            </w:r>
          </w:p>
        </w:tc>
        <w:tc>
          <w:tcPr>
            <w:tcW w:w="1504" w:type="dxa"/>
            <w:tcBorders>
              <w:top w:val="single" w:color="000000" w:sz="4" w:space="0"/>
              <w:left w:val="single" w:color="000000"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p>
        </w:tc>
        <w:tc>
          <w:tcPr>
            <w:tcW w:w="1311" w:type="dxa"/>
            <w:gridSpan w:val="3"/>
            <w:tcBorders>
              <w:top w:val="single" w:color="000000" w:sz="4" w:space="0"/>
              <w:left w:val="single" w:color="auto"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1"/>
                <w:szCs w:val="21"/>
              </w:rPr>
              <w:t>邮政编码</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653100</w:t>
            </w:r>
          </w:p>
        </w:tc>
      </w:tr>
      <w:tr>
        <w:tblPrEx>
          <w:tblLayout w:type="fixed"/>
          <w:tblCellMar>
            <w:top w:w="15" w:type="dxa"/>
            <w:left w:w="108" w:type="dxa"/>
            <w:bottom w:w="15" w:type="dxa"/>
            <w:right w:w="108" w:type="dxa"/>
          </w:tblCellMar>
        </w:tblPrEx>
        <w:trPr>
          <w:trHeight w:val="450" w:hRule="atLeast"/>
        </w:trPr>
        <w:tc>
          <w:tcPr>
            <w:tcW w:w="7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1"/>
                <w:szCs w:val="21"/>
              </w:rPr>
            </w:pPr>
          </w:p>
        </w:tc>
        <w:tc>
          <w:tcPr>
            <w:tcW w:w="128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单位地址</w:t>
            </w:r>
          </w:p>
        </w:tc>
        <w:tc>
          <w:tcPr>
            <w:tcW w:w="7371" w:type="dxa"/>
            <w:gridSpan w:val="8"/>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玉溪市红塔区右所沙头村</w:t>
            </w:r>
          </w:p>
        </w:tc>
      </w:tr>
      <w:tr>
        <w:tblPrEx>
          <w:tblLayout w:type="fixed"/>
          <w:tblCellMar>
            <w:top w:w="15" w:type="dxa"/>
            <w:left w:w="108" w:type="dxa"/>
            <w:bottom w:w="15" w:type="dxa"/>
            <w:right w:w="108" w:type="dxa"/>
          </w:tblCellMar>
        </w:tblPrEx>
        <w:trPr>
          <w:trHeight w:val="450" w:hRule="atLeast"/>
        </w:trPr>
        <w:tc>
          <w:tcPr>
            <w:tcW w:w="7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专用水文测站基本情况</w:t>
            </w:r>
          </w:p>
        </w:tc>
        <w:tc>
          <w:tcPr>
            <w:tcW w:w="128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站    名</w:t>
            </w:r>
          </w:p>
        </w:tc>
        <w:tc>
          <w:tcPr>
            <w:tcW w:w="3280"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大矣资水文站</w:t>
            </w:r>
          </w:p>
        </w:tc>
        <w:tc>
          <w:tcPr>
            <w:tcW w:w="15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服务对象名称</w:t>
            </w:r>
          </w:p>
        </w:tc>
        <w:tc>
          <w:tcPr>
            <w:tcW w:w="254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东风水库</w:t>
            </w:r>
          </w:p>
        </w:tc>
      </w:tr>
      <w:tr>
        <w:tblPrEx>
          <w:tblLayout w:type="fixed"/>
          <w:tblCellMar>
            <w:top w:w="15" w:type="dxa"/>
            <w:left w:w="108" w:type="dxa"/>
            <w:bottom w:w="15" w:type="dxa"/>
            <w:right w:w="108" w:type="dxa"/>
          </w:tblCellMar>
        </w:tblPrEx>
        <w:trPr>
          <w:trHeight w:val="450" w:hRule="atLeast"/>
        </w:trPr>
        <w:tc>
          <w:tcPr>
            <w:tcW w:w="7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1"/>
                <w:szCs w:val="21"/>
              </w:rPr>
            </w:pPr>
          </w:p>
        </w:tc>
        <w:tc>
          <w:tcPr>
            <w:tcW w:w="12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站    址</w:t>
            </w:r>
          </w:p>
        </w:tc>
        <w:tc>
          <w:tcPr>
            <w:tcW w:w="7371" w:type="dxa"/>
            <w:gridSpan w:val="8"/>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流域： 珠江     河名：董炳河       东经：202°37 ′北纬：24°21′</w:t>
            </w:r>
          </w:p>
        </w:tc>
      </w:tr>
      <w:tr>
        <w:tblPrEx>
          <w:tblLayout w:type="fixed"/>
          <w:tblCellMar>
            <w:top w:w="15" w:type="dxa"/>
            <w:left w:w="108" w:type="dxa"/>
            <w:bottom w:w="15" w:type="dxa"/>
            <w:right w:w="108" w:type="dxa"/>
          </w:tblCellMar>
        </w:tblPrEx>
        <w:trPr>
          <w:trHeight w:val="607" w:hRule="atLeast"/>
        </w:trPr>
        <w:tc>
          <w:tcPr>
            <w:tcW w:w="7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1"/>
                <w:szCs w:val="21"/>
              </w:rPr>
            </w:pPr>
          </w:p>
        </w:tc>
        <w:tc>
          <w:tcPr>
            <w:tcW w:w="12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1"/>
                <w:szCs w:val="21"/>
              </w:rPr>
            </w:pPr>
          </w:p>
        </w:tc>
        <w:tc>
          <w:tcPr>
            <w:tcW w:w="7371" w:type="dxa"/>
            <w:gridSpan w:val="8"/>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1"/>
                <w:szCs w:val="21"/>
                <w:u w:val="single"/>
              </w:rPr>
            </w:pPr>
            <w:r>
              <w:rPr>
                <w:rFonts w:hint="eastAsia" w:ascii="宋体" w:hAnsi="宋体" w:cs="宋体"/>
                <w:color w:val="000000"/>
                <w:kern w:val="0"/>
                <w:sz w:val="21"/>
                <w:szCs w:val="21"/>
                <w:u w:val="single"/>
              </w:rPr>
              <w:t xml:space="preserve">  玉溪 </w:t>
            </w:r>
            <w:r>
              <w:rPr>
                <w:rFonts w:ascii="宋体" w:hAnsi="宋体" w:cs="宋体"/>
                <w:color w:val="000000"/>
                <w:kern w:val="0"/>
                <w:sz w:val="21"/>
                <w:szCs w:val="21"/>
              </w:rPr>
              <w:t>州（市）</w:t>
            </w:r>
            <w:r>
              <w:rPr>
                <w:rFonts w:ascii="宋体" w:hAnsi="宋体" w:cs="宋体"/>
                <w:color w:val="000000"/>
                <w:kern w:val="0"/>
                <w:sz w:val="21"/>
                <w:szCs w:val="21"/>
                <w:u w:val="single"/>
              </w:rPr>
              <w:t xml:space="preserve"> </w:t>
            </w:r>
            <w:r>
              <w:rPr>
                <w:rFonts w:hint="eastAsia" w:ascii="宋体" w:hAnsi="宋体" w:cs="宋体"/>
                <w:color w:val="000000"/>
                <w:kern w:val="0"/>
                <w:sz w:val="21"/>
                <w:szCs w:val="21"/>
                <w:u w:val="single"/>
              </w:rPr>
              <w:t>红塔区</w:t>
            </w:r>
            <w:r>
              <w:rPr>
                <w:rFonts w:ascii="宋体" w:hAnsi="宋体" w:cs="宋体"/>
                <w:color w:val="000000"/>
                <w:kern w:val="0"/>
                <w:sz w:val="21"/>
                <w:szCs w:val="21"/>
                <w:u w:val="single"/>
              </w:rPr>
              <w:t xml:space="preserve"> </w:t>
            </w:r>
            <w:r>
              <w:rPr>
                <w:rFonts w:ascii="宋体" w:hAnsi="宋体" w:cs="宋体"/>
                <w:color w:val="000000"/>
                <w:kern w:val="0"/>
                <w:sz w:val="21"/>
                <w:szCs w:val="21"/>
              </w:rPr>
              <w:t>县（市、区）</w:t>
            </w:r>
            <w:r>
              <w:rPr>
                <w:rFonts w:ascii="宋体" w:hAnsi="宋体" w:cs="宋体"/>
                <w:color w:val="000000"/>
                <w:kern w:val="0"/>
                <w:sz w:val="21"/>
                <w:szCs w:val="21"/>
                <w:u w:val="single"/>
              </w:rPr>
              <w:t xml:space="preserve"> </w:t>
            </w:r>
            <w:r>
              <w:rPr>
                <w:rFonts w:hint="eastAsia" w:ascii="宋体" w:hAnsi="宋体" w:cs="宋体"/>
                <w:color w:val="000000"/>
                <w:kern w:val="0"/>
                <w:sz w:val="21"/>
                <w:szCs w:val="21"/>
                <w:u w:val="single"/>
              </w:rPr>
              <w:t>李棋</w:t>
            </w:r>
            <w:r>
              <w:rPr>
                <w:rFonts w:ascii="宋体" w:hAnsi="宋体" w:cs="宋体"/>
                <w:color w:val="000000"/>
                <w:kern w:val="0"/>
                <w:sz w:val="21"/>
                <w:szCs w:val="21"/>
                <w:u w:val="single"/>
              </w:rPr>
              <w:t xml:space="preserve"> </w:t>
            </w:r>
            <w:r>
              <w:rPr>
                <w:rFonts w:ascii="宋体" w:hAnsi="宋体" w:cs="宋体"/>
                <w:color w:val="000000"/>
                <w:kern w:val="0"/>
                <w:sz w:val="21"/>
                <w:szCs w:val="21"/>
              </w:rPr>
              <w:t>乡（镇）</w:t>
            </w:r>
            <w:r>
              <w:rPr>
                <w:rFonts w:ascii="宋体" w:hAnsi="宋体" w:cs="宋体"/>
                <w:color w:val="000000"/>
                <w:kern w:val="0"/>
                <w:sz w:val="21"/>
                <w:szCs w:val="21"/>
                <w:u w:val="single"/>
              </w:rPr>
              <w:t xml:space="preserve"> </w:t>
            </w:r>
            <w:r>
              <w:rPr>
                <w:rFonts w:hint="eastAsia" w:ascii="宋体" w:hAnsi="宋体" w:cs="宋体"/>
                <w:color w:val="000000"/>
                <w:kern w:val="0"/>
                <w:sz w:val="21"/>
                <w:szCs w:val="21"/>
                <w:u w:val="single"/>
              </w:rPr>
              <w:t>大矣资</w:t>
            </w:r>
            <w:r>
              <w:rPr>
                <w:rFonts w:ascii="宋体" w:hAnsi="宋体" w:cs="宋体"/>
                <w:color w:val="000000"/>
                <w:kern w:val="0"/>
                <w:sz w:val="21"/>
                <w:szCs w:val="21"/>
              </w:rPr>
              <w:t>村</w:t>
            </w:r>
          </w:p>
        </w:tc>
      </w:tr>
      <w:tr>
        <w:tblPrEx>
          <w:tblLayout w:type="fixed"/>
          <w:tblCellMar>
            <w:top w:w="15" w:type="dxa"/>
            <w:left w:w="108" w:type="dxa"/>
            <w:bottom w:w="15" w:type="dxa"/>
            <w:right w:w="108" w:type="dxa"/>
          </w:tblCellMar>
        </w:tblPrEx>
        <w:trPr>
          <w:trHeight w:val="450" w:hRule="atLeast"/>
        </w:trPr>
        <w:tc>
          <w:tcPr>
            <w:tcW w:w="7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1"/>
                <w:szCs w:val="21"/>
              </w:rPr>
            </w:pPr>
          </w:p>
        </w:tc>
        <w:tc>
          <w:tcPr>
            <w:tcW w:w="128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测验断面数</w:t>
            </w:r>
          </w:p>
        </w:tc>
        <w:tc>
          <w:tcPr>
            <w:tcW w:w="3280"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1</w:t>
            </w:r>
          </w:p>
        </w:tc>
        <w:tc>
          <w:tcPr>
            <w:tcW w:w="2063" w:type="dxa"/>
            <w:gridSpan w:val="3"/>
            <w:tcBorders>
              <w:top w:val="single" w:color="000000" w:sz="4" w:space="0"/>
              <w:left w:val="single" w:color="000000" w:sz="4" w:space="0"/>
              <w:bottom w:val="single" w:color="000000" w:sz="4" w:space="0"/>
              <w:right w:val="single" w:color="auto"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集水面积(km</w:t>
            </w:r>
            <w:r>
              <w:rPr>
                <w:rFonts w:ascii="宋体" w:hAnsi="宋体" w:cs="宋体"/>
                <w:color w:val="000000"/>
                <w:kern w:val="0"/>
                <w:sz w:val="21"/>
                <w:szCs w:val="21"/>
                <w:vertAlign w:val="superscript"/>
              </w:rPr>
              <w:t>2</w:t>
            </w:r>
            <w:r>
              <w:rPr>
                <w:rFonts w:ascii="宋体" w:hAnsi="宋体" w:cs="宋体"/>
                <w:color w:val="000000"/>
                <w:kern w:val="0"/>
                <w:sz w:val="21"/>
                <w:szCs w:val="21"/>
              </w:rPr>
              <w:t>)</w:t>
            </w:r>
          </w:p>
        </w:tc>
        <w:tc>
          <w:tcPr>
            <w:tcW w:w="2028" w:type="dxa"/>
            <w:gridSpan w:val="2"/>
            <w:tcBorders>
              <w:top w:val="single" w:color="000000" w:sz="4" w:space="0"/>
              <w:left w:val="single" w:color="auto"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131</w:t>
            </w:r>
          </w:p>
        </w:tc>
      </w:tr>
      <w:tr>
        <w:tblPrEx>
          <w:tblLayout w:type="fixed"/>
          <w:tblCellMar>
            <w:top w:w="15" w:type="dxa"/>
            <w:left w:w="108" w:type="dxa"/>
            <w:bottom w:w="15" w:type="dxa"/>
            <w:right w:w="108" w:type="dxa"/>
          </w:tblCellMar>
        </w:tblPrEx>
        <w:trPr>
          <w:trHeight w:val="450" w:hRule="atLeast"/>
        </w:trPr>
        <w:tc>
          <w:tcPr>
            <w:tcW w:w="7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1"/>
                <w:szCs w:val="21"/>
              </w:rPr>
            </w:pPr>
          </w:p>
        </w:tc>
        <w:tc>
          <w:tcPr>
            <w:tcW w:w="128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设站缘由</w:t>
            </w:r>
          </w:p>
        </w:tc>
        <w:tc>
          <w:tcPr>
            <w:tcW w:w="7371" w:type="dxa"/>
            <w:gridSpan w:val="8"/>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为东风水库工程调度和运行管理收集水文资料</w:t>
            </w:r>
          </w:p>
        </w:tc>
      </w:tr>
      <w:tr>
        <w:tblPrEx>
          <w:tblLayout w:type="fixed"/>
          <w:tblCellMar>
            <w:top w:w="15" w:type="dxa"/>
            <w:left w:w="108" w:type="dxa"/>
            <w:bottom w:w="15" w:type="dxa"/>
            <w:right w:w="108" w:type="dxa"/>
          </w:tblCellMar>
        </w:tblPrEx>
        <w:trPr>
          <w:trHeight w:val="450" w:hRule="atLeast"/>
        </w:trPr>
        <w:tc>
          <w:tcPr>
            <w:tcW w:w="7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1"/>
                <w:szCs w:val="21"/>
              </w:rPr>
            </w:pPr>
          </w:p>
        </w:tc>
        <w:tc>
          <w:tcPr>
            <w:tcW w:w="128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建站时间</w:t>
            </w:r>
          </w:p>
        </w:tc>
        <w:tc>
          <w:tcPr>
            <w:tcW w:w="16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1979年8月</w:t>
            </w:r>
          </w:p>
        </w:tc>
        <w:tc>
          <w:tcPr>
            <w:tcW w:w="165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测验项目</w:t>
            </w:r>
          </w:p>
        </w:tc>
        <w:tc>
          <w:tcPr>
            <w:tcW w:w="4091"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水位、流量、降水量</w:t>
            </w:r>
          </w:p>
        </w:tc>
      </w:tr>
      <w:tr>
        <w:tblPrEx>
          <w:tblLayout w:type="fixed"/>
          <w:tblCellMar>
            <w:top w:w="15" w:type="dxa"/>
            <w:left w:w="108" w:type="dxa"/>
            <w:bottom w:w="15" w:type="dxa"/>
            <w:right w:w="108" w:type="dxa"/>
          </w:tblCellMar>
        </w:tblPrEx>
        <w:trPr>
          <w:trHeight w:val="495" w:hRule="atLeast"/>
        </w:trPr>
        <w:tc>
          <w:tcPr>
            <w:tcW w:w="9371" w:type="dxa"/>
            <w:gridSpan w:val="10"/>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xml:space="preserve">现 场 检 查 意 见 </w:t>
            </w:r>
          </w:p>
        </w:tc>
      </w:tr>
      <w:tr>
        <w:tblPrEx>
          <w:tblLayout w:type="fixed"/>
          <w:tblCellMar>
            <w:top w:w="15" w:type="dxa"/>
            <w:left w:w="108" w:type="dxa"/>
            <w:bottom w:w="15" w:type="dxa"/>
            <w:right w:w="108" w:type="dxa"/>
          </w:tblCellMar>
        </w:tblPrEx>
        <w:trPr>
          <w:trHeight w:val="540" w:hRule="atLeast"/>
        </w:trPr>
        <w:tc>
          <w:tcPr>
            <w:tcW w:w="20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检查内容</w:t>
            </w:r>
          </w:p>
        </w:tc>
        <w:tc>
          <w:tcPr>
            <w:tcW w:w="742" w:type="dxa"/>
            <w:tcBorders>
              <w:top w:val="single" w:color="000000" w:sz="4" w:space="0"/>
              <w:left w:val="single" w:color="000000" w:sz="4" w:space="0"/>
              <w:bottom w:val="single" w:color="000000" w:sz="4" w:space="0"/>
              <w:right w:val="single" w:color="auto" w:sz="4" w:space="0"/>
            </w:tcBorders>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得分</w:t>
            </w:r>
          </w:p>
        </w:tc>
        <w:tc>
          <w:tcPr>
            <w:tcW w:w="6629" w:type="dxa"/>
            <w:gridSpan w:val="7"/>
            <w:tcBorders>
              <w:top w:val="single" w:color="000000" w:sz="4" w:space="0"/>
              <w:left w:val="single" w:color="auto" w:sz="4" w:space="0"/>
              <w:bottom w:val="single" w:color="000000" w:sz="4" w:space="0"/>
              <w:right w:val="single" w:color="000000" w:sz="4" w:space="0"/>
            </w:tcBorders>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检查意见</w:t>
            </w:r>
          </w:p>
        </w:tc>
      </w:tr>
      <w:tr>
        <w:tblPrEx>
          <w:tblLayout w:type="fixed"/>
          <w:tblCellMar>
            <w:top w:w="15" w:type="dxa"/>
            <w:left w:w="108" w:type="dxa"/>
            <w:bottom w:w="15" w:type="dxa"/>
            <w:right w:w="108" w:type="dxa"/>
          </w:tblCellMar>
        </w:tblPrEx>
        <w:trPr>
          <w:trHeight w:val="1080" w:hRule="atLeast"/>
        </w:trPr>
        <w:tc>
          <w:tcPr>
            <w:tcW w:w="2000"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1.设站及监测活动依据</w:t>
            </w:r>
          </w:p>
        </w:tc>
        <w:tc>
          <w:tcPr>
            <w:tcW w:w="742" w:type="dxa"/>
            <w:tcBorders>
              <w:top w:val="single" w:color="000000" w:sz="4" w:space="0"/>
              <w:left w:val="single" w:color="000000"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6629" w:type="dxa"/>
            <w:gridSpan w:val="7"/>
            <w:tcBorders>
              <w:top w:val="single" w:color="000000" w:sz="4" w:space="0"/>
              <w:left w:val="single" w:color="auto" w:sz="4" w:space="0"/>
              <w:bottom w:val="single" w:color="000000" w:sz="4" w:space="0"/>
              <w:right w:val="single" w:color="000000" w:sz="4" w:space="0"/>
            </w:tcBorders>
            <w:vAlign w:val="center"/>
          </w:tcPr>
          <w:p>
            <w:pPr>
              <w:widowControl/>
              <w:ind w:firstLine="440" w:firstLineChars="200"/>
              <w:jc w:val="center"/>
              <w:rPr>
                <w:rFonts w:ascii="宋体" w:hAnsi="宋体" w:cs="宋体"/>
                <w:color w:val="000000"/>
                <w:kern w:val="0"/>
                <w:sz w:val="22"/>
                <w:szCs w:val="22"/>
              </w:rPr>
            </w:pPr>
            <w:r>
              <w:rPr>
                <w:rFonts w:hint="eastAsia" w:ascii="宋体" w:hAnsi="宋体" w:cs="宋体"/>
                <w:color w:val="000000"/>
                <w:kern w:val="0"/>
                <w:sz w:val="22"/>
                <w:szCs w:val="22"/>
              </w:rPr>
              <w:t>该站设于1979年8月，为玉溪市东风水库入库径流站之一，2018年9月经云南省水文水资源局“（云水文专）字备〔2018〕第01号”备案。按原设站项目开展水文监测，无监测项目及站名变更情况。</w:t>
            </w:r>
          </w:p>
        </w:tc>
      </w:tr>
      <w:tr>
        <w:tblPrEx>
          <w:tblLayout w:type="fixed"/>
          <w:tblCellMar>
            <w:top w:w="15" w:type="dxa"/>
            <w:left w:w="108" w:type="dxa"/>
            <w:bottom w:w="15" w:type="dxa"/>
            <w:right w:w="108" w:type="dxa"/>
          </w:tblCellMar>
        </w:tblPrEx>
        <w:trPr>
          <w:trHeight w:val="1080" w:hRule="atLeast"/>
        </w:trPr>
        <w:tc>
          <w:tcPr>
            <w:tcW w:w="2000"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2.监测人员</w:t>
            </w:r>
          </w:p>
        </w:tc>
        <w:tc>
          <w:tcPr>
            <w:tcW w:w="742" w:type="dxa"/>
            <w:tcBorders>
              <w:top w:val="single" w:color="000000" w:sz="4" w:space="0"/>
              <w:left w:val="single" w:color="000000"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13</w:t>
            </w:r>
          </w:p>
        </w:tc>
        <w:tc>
          <w:tcPr>
            <w:tcW w:w="6629" w:type="dxa"/>
            <w:gridSpan w:val="7"/>
            <w:tcBorders>
              <w:top w:val="single" w:color="000000" w:sz="4" w:space="0"/>
              <w:left w:val="single" w:color="auto" w:sz="4" w:space="0"/>
              <w:bottom w:val="single" w:color="000000" w:sz="4" w:space="0"/>
              <w:right w:val="single" w:color="000000" w:sz="4" w:space="0"/>
            </w:tcBorders>
            <w:vAlign w:val="center"/>
          </w:tcPr>
          <w:p>
            <w:pPr>
              <w:widowControl/>
              <w:ind w:firstLine="440" w:firstLineChars="200"/>
              <w:jc w:val="left"/>
              <w:rPr>
                <w:rFonts w:ascii="宋体" w:hAnsi="宋体" w:cs="宋体"/>
                <w:color w:val="000000"/>
                <w:kern w:val="0"/>
                <w:sz w:val="22"/>
                <w:szCs w:val="22"/>
              </w:rPr>
            </w:pPr>
            <w:r>
              <w:rPr>
                <w:rFonts w:hint="eastAsia" w:ascii="宋体" w:hAnsi="宋体" w:cs="宋体"/>
                <w:color w:val="000000"/>
                <w:kern w:val="0"/>
                <w:sz w:val="22"/>
                <w:szCs w:val="22"/>
              </w:rPr>
              <w:t>该站有2名正式职工专门驻站从事监测工作（汛期还另聘一名临时工协助监测），其中一名毕业于云南省水利水电学校水政水资源专业，另一名毕业于玉溪体校。监测人员参加过玉溪分局举办的水文监测技术培训，考核合格，具备水文监测工作的专用技术能力。</w:t>
            </w:r>
          </w:p>
        </w:tc>
      </w:tr>
      <w:tr>
        <w:tblPrEx>
          <w:tblLayout w:type="fixed"/>
          <w:tblCellMar>
            <w:top w:w="15" w:type="dxa"/>
            <w:left w:w="108" w:type="dxa"/>
            <w:bottom w:w="15" w:type="dxa"/>
            <w:right w:w="108" w:type="dxa"/>
          </w:tblCellMar>
        </w:tblPrEx>
        <w:trPr>
          <w:trHeight w:val="1080" w:hRule="atLeast"/>
        </w:trPr>
        <w:tc>
          <w:tcPr>
            <w:tcW w:w="2000"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3.监测环境</w:t>
            </w:r>
          </w:p>
        </w:tc>
        <w:tc>
          <w:tcPr>
            <w:tcW w:w="742" w:type="dxa"/>
            <w:tcBorders>
              <w:top w:val="single" w:color="000000" w:sz="4" w:space="0"/>
              <w:left w:val="single" w:color="000000"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w:t>
            </w:r>
          </w:p>
        </w:tc>
        <w:tc>
          <w:tcPr>
            <w:tcW w:w="6629" w:type="dxa"/>
            <w:gridSpan w:val="7"/>
            <w:tcBorders>
              <w:top w:val="single" w:color="000000" w:sz="4" w:space="0"/>
              <w:left w:val="single" w:color="auto" w:sz="4" w:space="0"/>
              <w:bottom w:val="single" w:color="000000" w:sz="4" w:space="0"/>
              <w:right w:val="single" w:color="000000" w:sz="4" w:space="0"/>
            </w:tcBorders>
            <w:vAlign w:val="center"/>
          </w:tcPr>
          <w:p>
            <w:pPr>
              <w:widowControl/>
              <w:ind w:firstLine="440" w:firstLineChars="200"/>
              <w:jc w:val="left"/>
              <w:rPr>
                <w:rFonts w:ascii="宋体" w:hAnsi="宋体" w:cs="宋体"/>
                <w:color w:val="000000"/>
                <w:kern w:val="0"/>
                <w:sz w:val="22"/>
                <w:szCs w:val="22"/>
              </w:rPr>
            </w:pPr>
            <w:r>
              <w:rPr>
                <w:rFonts w:hint="eastAsia" w:ascii="宋体" w:hAnsi="宋体" w:cs="宋体"/>
                <w:color w:val="000000"/>
                <w:kern w:val="0"/>
                <w:sz w:val="22"/>
                <w:szCs w:val="22"/>
              </w:rPr>
              <w:t>该站水位及流量测验河段选址合理，测验断面垂线布设（测速、测深垂线）基本规范合理；雨量观测设施（20cm普通器）设在房顶，周围无遮挡，满足监测项目要求。配套生产、生活设施满足测站功能及运行管理需要。</w:t>
            </w:r>
          </w:p>
        </w:tc>
      </w:tr>
      <w:tr>
        <w:tblPrEx>
          <w:tblLayout w:type="fixed"/>
          <w:tblCellMar>
            <w:top w:w="15" w:type="dxa"/>
            <w:left w:w="108" w:type="dxa"/>
            <w:bottom w:w="15" w:type="dxa"/>
            <w:right w:w="108" w:type="dxa"/>
          </w:tblCellMar>
        </w:tblPrEx>
        <w:trPr>
          <w:trHeight w:val="1080" w:hRule="atLeast"/>
        </w:trPr>
        <w:tc>
          <w:tcPr>
            <w:tcW w:w="2000"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4.设施设备</w:t>
            </w:r>
          </w:p>
        </w:tc>
        <w:tc>
          <w:tcPr>
            <w:tcW w:w="742" w:type="dxa"/>
            <w:tcBorders>
              <w:top w:val="single" w:color="000000" w:sz="4" w:space="0"/>
              <w:left w:val="single" w:color="000000"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w:t>
            </w:r>
          </w:p>
        </w:tc>
        <w:tc>
          <w:tcPr>
            <w:tcW w:w="6629" w:type="dxa"/>
            <w:gridSpan w:val="7"/>
            <w:tcBorders>
              <w:top w:val="single" w:color="000000" w:sz="4" w:space="0"/>
              <w:left w:val="single" w:color="auto" w:sz="4" w:space="0"/>
              <w:bottom w:val="single" w:color="000000" w:sz="4" w:space="0"/>
              <w:right w:val="single" w:color="000000" w:sz="4" w:space="0"/>
            </w:tcBorders>
            <w:vAlign w:val="center"/>
          </w:tcPr>
          <w:p>
            <w:pPr>
              <w:widowControl/>
              <w:ind w:firstLine="440" w:firstLineChars="200"/>
              <w:jc w:val="left"/>
              <w:rPr>
                <w:rFonts w:ascii="宋体" w:hAnsi="宋体" w:cs="宋体"/>
                <w:color w:val="000000"/>
                <w:kern w:val="0"/>
                <w:sz w:val="22"/>
                <w:szCs w:val="22"/>
              </w:rPr>
            </w:pPr>
            <w:r>
              <w:rPr>
                <w:rFonts w:hint="eastAsia" w:ascii="宋体" w:hAnsi="宋体" w:cs="宋体"/>
                <w:color w:val="000000"/>
                <w:kern w:val="0"/>
                <w:sz w:val="22"/>
                <w:szCs w:val="22"/>
              </w:rPr>
              <w:t>水位观测设施设为直立式水尺和浮子式自记水位计。自记水位计设在右岸，水尺设于左岸。河道右岸淤积严重，低、枯水时主要为人工观测，中、高水时采用自记水位+人工校测。流量监测设备配置基本满足本站监测要求，流速仪、水准仪等计量器具按规范要求送检。</w:t>
            </w:r>
          </w:p>
        </w:tc>
      </w:tr>
      <w:tr>
        <w:tblPrEx>
          <w:tblLayout w:type="fixed"/>
          <w:tblCellMar>
            <w:top w:w="15" w:type="dxa"/>
            <w:left w:w="108" w:type="dxa"/>
            <w:bottom w:w="15" w:type="dxa"/>
            <w:right w:w="108" w:type="dxa"/>
          </w:tblCellMar>
        </w:tblPrEx>
        <w:trPr>
          <w:trHeight w:val="1080" w:hRule="atLeast"/>
        </w:trPr>
        <w:tc>
          <w:tcPr>
            <w:tcW w:w="2000"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5.监测业务及技术管理</w:t>
            </w:r>
          </w:p>
        </w:tc>
        <w:tc>
          <w:tcPr>
            <w:tcW w:w="742" w:type="dxa"/>
            <w:tcBorders>
              <w:top w:val="single" w:color="000000" w:sz="4" w:space="0"/>
              <w:left w:val="single" w:color="000000"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6629" w:type="dxa"/>
            <w:gridSpan w:val="7"/>
            <w:tcBorders>
              <w:top w:val="single" w:color="000000" w:sz="4" w:space="0"/>
              <w:left w:val="single" w:color="auto" w:sz="4" w:space="0"/>
              <w:bottom w:val="single" w:color="000000" w:sz="4" w:space="0"/>
              <w:right w:val="single" w:color="000000" w:sz="4" w:space="0"/>
            </w:tcBorders>
            <w:vAlign w:val="center"/>
          </w:tcPr>
          <w:p>
            <w:pPr>
              <w:widowControl/>
              <w:ind w:firstLine="440" w:firstLineChars="200"/>
              <w:jc w:val="left"/>
              <w:rPr>
                <w:rFonts w:ascii="宋体" w:hAnsi="宋体" w:cs="宋体"/>
                <w:color w:val="000000"/>
                <w:kern w:val="0"/>
                <w:sz w:val="22"/>
                <w:szCs w:val="22"/>
              </w:rPr>
            </w:pPr>
            <w:r>
              <w:rPr>
                <w:rFonts w:hint="eastAsia" w:ascii="宋体" w:hAnsi="宋体" w:cs="宋体"/>
                <w:color w:val="000000"/>
                <w:kern w:val="0"/>
                <w:sz w:val="22"/>
                <w:szCs w:val="22"/>
              </w:rPr>
              <w:t>该站水文监测业务及技术管理规范，各监测要素（水位、流量、降水量）的监测方法、数据记录、资料整编符合相应标准规范要求。</w:t>
            </w:r>
          </w:p>
        </w:tc>
      </w:tr>
      <w:tr>
        <w:tblPrEx>
          <w:tblLayout w:type="fixed"/>
          <w:tblCellMar>
            <w:top w:w="15" w:type="dxa"/>
            <w:left w:w="108" w:type="dxa"/>
            <w:bottom w:w="15" w:type="dxa"/>
            <w:right w:w="108" w:type="dxa"/>
          </w:tblCellMar>
        </w:tblPrEx>
        <w:trPr>
          <w:trHeight w:val="1080" w:hRule="atLeast"/>
        </w:trPr>
        <w:tc>
          <w:tcPr>
            <w:tcW w:w="2000"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6.监测成果质量及汇交</w:t>
            </w:r>
          </w:p>
        </w:tc>
        <w:tc>
          <w:tcPr>
            <w:tcW w:w="742" w:type="dxa"/>
            <w:tcBorders>
              <w:top w:val="single" w:color="000000" w:sz="4" w:space="0"/>
              <w:left w:val="single" w:color="000000"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w:t>
            </w:r>
          </w:p>
        </w:tc>
        <w:tc>
          <w:tcPr>
            <w:tcW w:w="6629" w:type="dxa"/>
            <w:gridSpan w:val="7"/>
            <w:tcBorders>
              <w:top w:val="single" w:color="000000" w:sz="4" w:space="0"/>
              <w:left w:val="single" w:color="auto" w:sz="4" w:space="0"/>
              <w:bottom w:val="single" w:color="000000" w:sz="4" w:space="0"/>
              <w:right w:val="single" w:color="000000" w:sz="4" w:space="0"/>
            </w:tcBorders>
            <w:vAlign w:val="center"/>
          </w:tcPr>
          <w:p>
            <w:pPr>
              <w:widowControl/>
              <w:ind w:firstLine="440" w:firstLineChars="200"/>
              <w:jc w:val="left"/>
              <w:rPr>
                <w:rFonts w:ascii="宋体" w:hAnsi="宋体" w:cs="宋体"/>
                <w:color w:val="000000"/>
                <w:kern w:val="0"/>
                <w:sz w:val="22"/>
                <w:szCs w:val="22"/>
              </w:rPr>
            </w:pPr>
            <w:r>
              <w:rPr>
                <w:rFonts w:hint="eastAsia" w:ascii="宋体" w:hAnsi="宋体" w:cs="宋体"/>
                <w:color w:val="000000"/>
                <w:kern w:val="0"/>
                <w:sz w:val="22"/>
                <w:szCs w:val="22"/>
              </w:rPr>
              <w:t>年度水文监测资料及时按照《水文资料整编规范》完成整编、审查，成果质量合格；年度资料已向云南省水文水资源局玉溪分局汇交。</w:t>
            </w:r>
          </w:p>
        </w:tc>
      </w:tr>
      <w:tr>
        <w:tblPrEx>
          <w:tblLayout w:type="fixed"/>
          <w:tblCellMar>
            <w:top w:w="15" w:type="dxa"/>
            <w:left w:w="108" w:type="dxa"/>
            <w:bottom w:w="15" w:type="dxa"/>
            <w:right w:w="108" w:type="dxa"/>
          </w:tblCellMar>
        </w:tblPrEx>
        <w:trPr>
          <w:trHeight w:val="776" w:hRule="atLeast"/>
        </w:trPr>
        <w:tc>
          <w:tcPr>
            <w:tcW w:w="2000" w:type="dxa"/>
            <w:gridSpan w:val="2"/>
            <w:tcBorders>
              <w:top w:val="single" w:color="000000" w:sz="4" w:space="0"/>
              <w:left w:val="single" w:color="000000" w:sz="4" w:space="0"/>
              <w:bottom w:val="single" w:color="auto" w:sz="4" w:space="0"/>
              <w:right w:val="single" w:color="000000"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7.其他</w:t>
            </w:r>
          </w:p>
        </w:tc>
        <w:tc>
          <w:tcPr>
            <w:tcW w:w="742" w:type="dxa"/>
            <w:tcBorders>
              <w:top w:val="single" w:color="000000" w:sz="4" w:space="0"/>
              <w:left w:val="single" w:color="000000"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6629" w:type="dxa"/>
            <w:gridSpan w:val="7"/>
            <w:tcBorders>
              <w:top w:val="single" w:color="000000" w:sz="4" w:space="0"/>
              <w:left w:val="single" w:color="auto" w:sz="4" w:space="0"/>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该站运行经费有保障，测站人员配置及运行管理到位。</w:t>
            </w:r>
          </w:p>
        </w:tc>
      </w:tr>
      <w:tr>
        <w:tblPrEx>
          <w:tblLayout w:type="fixed"/>
          <w:tblCellMar>
            <w:top w:w="15" w:type="dxa"/>
            <w:left w:w="108" w:type="dxa"/>
            <w:bottom w:w="15" w:type="dxa"/>
            <w:right w:w="108" w:type="dxa"/>
          </w:tblCellMar>
        </w:tblPrEx>
        <w:trPr>
          <w:trHeight w:val="530" w:hRule="atLeast"/>
        </w:trPr>
        <w:tc>
          <w:tcPr>
            <w:tcW w:w="2742" w:type="dxa"/>
            <w:gridSpan w:val="3"/>
            <w:tcBorders>
              <w:top w:val="single" w:color="auto" w:sz="4" w:space="0"/>
              <w:left w:val="single" w:color="000000"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合计得分：87</w:t>
            </w:r>
          </w:p>
        </w:tc>
        <w:tc>
          <w:tcPr>
            <w:tcW w:w="6629" w:type="dxa"/>
            <w:gridSpan w:val="7"/>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总体评价：□优秀   √合格   □基本合格    □不合格</w:t>
            </w:r>
          </w:p>
        </w:tc>
      </w:tr>
      <w:tr>
        <w:tblPrEx>
          <w:tblLayout w:type="fixed"/>
          <w:tblCellMar>
            <w:top w:w="15" w:type="dxa"/>
            <w:left w:w="108" w:type="dxa"/>
            <w:bottom w:w="15" w:type="dxa"/>
            <w:right w:w="108" w:type="dxa"/>
          </w:tblCellMar>
        </w:tblPrEx>
        <w:trPr>
          <w:trHeight w:val="567" w:hRule="atLeast"/>
        </w:trPr>
        <w:tc>
          <w:tcPr>
            <w:tcW w:w="9371" w:type="dxa"/>
            <w:gridSpan w:val="10"/>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b/>
                <w:color w:val="000000"/>
                <w:kern w:val="0"/>
                <w:sz w:val="22"/>
                <w:szCs w:val="22"/>
              </w:rPr>
            </w:pPr>
            <w:r>
              <w:rPr>
                <w:rFonts w:hint="eastAsia" w:ascii="宋体" w:hAnsi="宋体" w:cs="宋体"/>
                <w:b/>
                <w:color w:val="000000"/>
                <w:kern w:val="0"/>
                <w:sz w:val="22"/>
                <w:szCs w:val="22"/>
              </w:rPr>
              <w:t>评价意见及结论</w:t>
            </w:r>
          </w:p>
        </w:tc>
      </w:tr>
      <w:tr>
        <w:tblPrEx>
          <w:tblLayout w:type="fixed"/>
          <w:tblCellMar>
            <w:top w:w="15" w:type="dxa"/>
            <w:left w:w="108" w:type="dxa"/>
            <w:bottom w:w="15" w:type="dxa"/>
            <w:right w:w="108" w:type="dxa"/>
          </w:tblCellMar>
        </w:tblPrEx>
        <w:trPr>
          <w:trHeight w:val="1080" w:hRule="atLeast"/>
        </w:trPr>
        <w:tc>
          <w:tcPr>
            <w:tcW w:w="9371" w:type="dxa"/>
            <w:gridSpan w:val="10"/>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2"/>
                <w:szCs w:val="22"/>
              </w:rPr>
            </w:pP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检查组评价意见</w:t>
            </w:r>
          </w:p>
          <w:p>
            <w:pPr>
              <w:widowControl/>
              <w:ind w:firstLine="440" w:firstLineChars="200"/>
              <w:jc w:val="left"/>
              <w:rPr>
                <w:rFonts w:ascii="宋体" w:hAnsi="宋体" w:cs="宋体"/>
                <w:color w:val="000000"/>
                <w:kern w:val="0"/>
                <w:sz w:val="22"/>
                <w:szCs w:val="22"/>
              </w:rPr>
            </w:pPr>
            <w:r>
              <w:rPr>
                <w:rFonts w:hint="eastAsia" w:ascii="宋体" w:hAnsi="宋体" w:cs="宋体"/>
                <w:color w:val="000000"/>
                <w:kern w:val="0"/>
                <w:sz w:val="22"/>
                <w:szCs w:val="22"/>
              </w:rPr>
              <w:t>该站设立及监测依据齐全，测站驻站监测人员具有承担相应的水文监测专业技术能力，监测环境条件基本符合相应技术规范规定；各水文要素的监测方法、数据记录及整理符合测站实际，达到相应规范要求，成果质量合格；年度资料已向云南省水文水资源局玉溪分局汇交。符合《中华人民共和国水文条例》第十五条、十八条、十九条和二十五条的相关规定。</w:t>
            </w:r>
          </w:p>
          <w:p>
            <w:pPr>
              <w:widowControl/>
              <w:ind w:firstLine="440" w:firstLineChars="200"/>
              <w:jc w:val="left"/>
              <w:rPr>
                <w:rFonts w:ascii="宋体" w:hAnsi="宋体" w:cs="宋体"/>
                <w:color w:val="000000"/>
                <w:kern w:val="0"/>
                <w:sz w:val="22"/>
                <w:szCs w:val="22"/>
              </w:rPr>
            </w:pPr>
            <w:r>
              <w:rPr>
                <w:rFonts w:hint="eastAsia" w:ascii="宋体" w:hAnsi="宋体" w:cs="宋体"/>
                <w:color w:val="000000"/>
                <w:kern w:val="0"/>
                <w:sz w:val="22"/>
                <w:szCs w:val="22"/>
              </w:rPr>
              <w:t>建议：（</w:t>
            </w:r>
            <w:r>
              <w:rPr>
                <w:rFonts w:hint="eastAsia" w:ascii="宋体" w:hAnsi="宋体" w:cs="宋体"/>
                <w:color w:val="000000"/>
                <w:kern w:val="0"/>
                <w:sz w:val="22"/>
                <w:szCs w:val="22"/>
                <w:lang w:val="en-US" w:eastAsia="zh-CN"/>
              </w:rPr>
              <w:t>1</w:t>
            </w:r>
            <w:r>
              <w:rPr>
                <w:rFonts w:hint="eastAsia" w:ascii="宋体" w:hAnsi="宋体" w:cs="宋体"/>
                <w:color w:val="000000"/>
                <w:kern w:val="0"/>
                <w:sz w:val="22"/>
                <w:szCs w:val="22"/>
              </w:rPr>
              <w:t>）根据测站管理和测验要求及时修订《测站任务书》；（</w:t>
            </w:r>
            <w:r>
              <w:rPr>
                <w:rFonts w:hint="eastAsia" w:ascii="宋体" w:hAnsi="宋体" w:cs="宋体"/>
                <w:color w:val="000000"/>
                <w:kern w:val="0"/>
                <w:sz w:val="22"/>
                <w:szCs w:val="22"/>
                <w:lang w:val="en-US" w:eastAsia="zh-CN"/>
              </w:rPr>
              <w:t>2</w:t>
            </w:r>
            <w:r>
              <w:rPr>
                <w:rFonts w:hint="eastAsia" w:ascii="宋体" w:hAnsi="宋体" w:cs="宋体"/>
                <w:color w:val="000000"/>
                <w:kern w:val="0"/>
                <w:sz w:val="22"/>
                <w:szCs w:val="22"/>
              </w:rPr>
              <w:t>）汛期水位涨落变化大时增加水位观测次数，以能控制水位变化全过程。（</w:t>
            </w:r>
            <w:r>
              <w:rPr>
                <w:rFonts w:hint="eastAsia" w:ascii="宋体" w:hAnsi="宋体" w:cs="宋体"/>
                <w:color w:val="000000"/>
                <w:kern w:val="0"/>
                <w:sz w:val="22"/>
                <w:szCs w:val="22"/>
                <w:lang w:val="en-US" w:eastAsia="zh-CN"/>
              </w:rPr>
              <w:t>3</w:t>
            </w:r>
            <w:r>
              <w:rPr>
                <w:rFonts w:hint="eastAsia" w:ascii="宋体" w:hAnsi="宋体" w:cs="宋体"/>
                <w:color w:val="000000"/>
                <w:kern w:val="0"/>
                <w:sz w:val="22"/>
                <w:szCs w:val="22"/>
              </w:rPr>
              <w:t>）低、枯水流量测验时适当增加测速垂线，提高测验精度；（</w:t>
            </w:r>
            <w:r>
              <w:rPr>
                <w:rFonts w:hint="eastAsia" w:ascii="宋体" w:hAnsi="宋体" w:cs="宋体"/>
                <w:color w:val="000000"/>
                <w:kern w:val="0"/>
                <w:sz w:val="22"/>
                <w:szCs w:val="22"/>
                <w:lang w:val="en-US" w:eastAsia="zh-CN"/>
              </w:rPr>
              <w:t>4</w:t>
            </w:r>
            <w:r>
              <w:rPr>
                <w:rFonts w:hint="eastAsia" w:ascii="宋体" w:hAnsi="宋体" w:cs="宋体"/>
                <w:color w:val="000000"/>
                <w:kern w:val="0"/>
                <w:sz w:val="22"/>
                <w:szCs w:val="22"/>
              </w:rPr>
              <w:t>）因该站建设年份较早，河道右岸淤积严重，自记水位设施已不能满足要求，积极</w:t>
            </w:r>
            <w:r>
              <w:rPr>
                <w:rFonts w:hint="eastAsia" w:ascii="宋体" w:hAnsi="宋体" w:cs="宋体"/>
                <w:color w:val="000000"/>
                <w:kern w:val="0"/>
                <w:sz w:val="22"/>
                <w:szCs w:val="22"/>
                <w:lang w:val="en-US" w:eastAsia="zh-CN"/>
              </w:rPr>
              <w:t>及时清理淤积河道，保障设施正常运行</w:t>
            </w:r>
            <w:r>
              <w:rPr>
                <w:rFonts w:hint="eastAsia" w:ascii="宋体" w:hAnsi="宋体" w:cs="宋体"/>
                <w:color w:val="000000"/>
                <w:kern w:val="0"/>
                <w:sz w:val="22"/>
                <w:szCs w:val="22"/>
              </w:rPr>
              <w:t>；（</w:t>
            </w:r>
            <w:r>
              <w:rPr>
                <w:rFonts w:hint="eastAsia" w:ascii="宋体" w:hAnsi="宋体" w:cs="宋体"/>
                <w:color w:val="000000"/>
                <w:kern w:val="0"/>
                <w:sz w:val="22"/>
                <w:szCs w:val="22"/>
                <w:lang w:val="en-US" w:eastAsia="zh-CN"/>
              </w:rPr>
              <w:t>5</w:t>
            </w:r>
            <w:r>
              <w:rPr>
                <w:rFonts w:hint="eastAsia" w:ascii="宋体" w:hAnsi="宋体" w:cs="宋体"/>
                <w:color w:val="000000"/>
                <w:kern w:val="0"/>
                <w:sz w:val="22"/>
                <w:szCs w:val="22"/>
              </w:rPr>
              <w:t>）进一步</w:t>
            </w:r>
            <w:r>
              <w:rPr>
                <w:rFonts w:hint="eastAsia" w:ascii="宋体" w:hAnsi="宋体" w:cs="宋体"/>
                <w:color w:val="000000"/>
                <w:kern w:val="0"/>
                <w:sz w:val="22"/>
                <w:szCs w:val="22"/>
                <w:lang w:eastAsia="zh-CN"/>
              </w:rPr>
              <w:t>值班值守，完善值班记录台账，确保设施安全</w:t>
            </w:r>
            <w:r>
              <w:rPr>
                <w:rFonts w:hint="eastAsia" w:ascii="宋体" w:hAnsi="宋体" w:cs="宋体"/>
                <w:color w:val="000000"/>
                <w:kern w:val="0"/>
                <w:sz w:val="22"/>
                <w:szCs w:val="22"/>
              </w:rPr>
              <w:t>。</w:t>
            </w:r>
          </w:p>
          <w:p>
            <w:pPr>
              <w:widowControl/>
              <w:jc w:val="right"/>
              <w:rPr>
                <w:rFonts w:ascii="宋体" w:hAnsi="宋体" w:cs="宋体"/>
                <w:color w:val="000000"/>
                <w:kern w:val="0"/>
                <w:sz w:val="22"/>
                <w:szCs w:val="22"/>
              </w:rPr>
            </w:pPr>
            <w:r>
              <w:rPr>
                <w:rFonts w:hint="eastAsia" w:ascii="宋体" w:hAnsi="宋体" w:cs="宋体"/>
                <w:color w:val="000000"/>
                <w:kern w:val="0"/>
                <w:sz w:val="22"/>
                <w:szCs w:val="22"/>
              </w:rPr>
              <w:t>2019年   11  月   25   日</w:t>
            </w:r>
          </w:p>
          <w:p>
            <w:pPr>
              <w:widowControl/>
              <w:jc w:val="center"/>
              <w:rPr>
                <w:rFonts w:ascii="宋体" w:hAnsi="宋体" w:cs="宋体"/>
                <w:color w:val="000000"/>
                <w:kern w:val="0"/>
                <w:sz w:val="22"/>
                <w:szCs w:val="22"/>
              </w:rPr>
            </w:pPr>
          </w:p>
        </w:tc>
      </w:tr>
      <w:tr>
        <w:tblPrEx>
          <w:tblLayout w:type="fixed"/>
          <w:tblCellMar>
            <w:top w:w="15" w:type="dxa"/>
            <w:left w:w="108" w:type="dxa"/>
            <w:bottom w:w="15" w:type="dxa"/>
            <w:right w:w="108" w:type="dxa"/>
          </w:tblCellMar>
        </w:tblPrEx>
        <w:trPr>
          <w:trHeight w:val="1080" w:hRule="atLeast"/>
        </w:trPr>
        <w:tc>
          <w:tcPr>
            <w:tcW w:w="9371" w:type="dxa"/>
            <w:gridSpan w:val="10"/>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2"/>
                <w:szCs w:val="22"/>
              </w:rPr>
            </w:pP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检查组结论：</w:t>
            </w:r>
          </w:p>
          <w:p>
            <w:pPr>
              <w:widowControl/>
              <w:ind w:firstLine="440" w:firstLineChars="200"/>
              <w:jc w:val="left"/>
              <w:rPr>
                <w:rFonts w:ascii="宋体" w:hAnsi="宋体" w:cs="宋体"/>
                <w:color w:val="000000"/>
                <w:kern w:val="0"/>
                <w:sz w:val="22"/>
                <w:szCs w:val="22"/>
              </w:rPr>
            </w:pPr>
            <w:r>
              <w:rPr>
                <w:rFonts w:hint="eastAsia" w:ascii="宋体" w:hAnsi="宋体" w:cs="宋体"/>
                <w:color w:val="000000"/>
                <w:kern w:val="0"/>
                <w:sz w:val="22"/>
                <w:szCs w:val="22"/>
              </w:rPr>
              <w:t>经检查组2019年11月25日现场查看该站设站相关依据、管理制度、测验设施设备配置情况、计量仪器的校检、监测人员技术能力及监测记录资料等后认为：大矣资专用水文站在水文监测过程中，能遵守《中华人民共和国水文条例》的规定，依法取得水文站设立批准文件，按照水文技术标准、规范和规程开展水文监测，监测人员、监测设施及技术装备基本满足相应的技术要求，为取得质量可靠的水文资料提供了技术保障；年度水文监测资料经云南省水文水资源局玉溪分局审查，整编成果向玉溪分局汇交。</w:t>
            </w: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right"/>
              <w:rPr>
                <w:rFonts w:ascii="宋体" w:hAnsi="宋体" w:cs="宋体"/>
                <w:color w:val="000000"/>
                <w:kern w:val="0"/>
                <w:sz w:val="22"/>
                <w:szCs w:val="22"/>
              </w:rPr>
            </w:pPr>
            <w:r>
              <w:rPr>
                <w:rFonts w:hint="eastAsia" w:ascii="宋体" w:hAnsi="宋体" w:cs="宋体"/>
                <w:color w:val="000000"/>
                <w:kern w:val="0"/>
                <w:sz w:val="22"/>
                <w:szCs w:val="22"/>
              </w:rPr>
              <w:t>2019年  11   月  25    日</w:t>
            </w:r>
          </w:p>
          <w:p>
            <w:pPr>
              <w:widowControl/>
              <w:jc w:val="center"/>
              <w:rPr>
                <w:rFonts w:ascii="宋体" w:hAnsi="宋体" w:cs="宋体"/>
                <w:color w:val="000000"/>
                <w:kern w:val="0"/>
                <w:sz w:val="22"/>
                <w:szCs w:val="22"/>
              </w:rPr>
            </w:pPr>
          </w:p>
        </w:tc>
      </w:tr>
      <w:tr>
        <w:tblPrEx>
          <w:tblLayout w:type="fixed"/>
          <w:tblCellMar>
            <w:top w:w="15" w:type="dxa"/>
            <w:left w:w="108" w:type="dxa"/>
            <w:bottom w:w="15" w:type="dxa"/>
            <w:right w:w="108" w:type="dxa"/>
          </w:tblCellMar>
        </w:tblPrEx>
        <w:trPr>
          <w:trHeight w:val="1080" w:hRule="atLeast"/>
        </w:trPr>
        <w:tc>
          <w:tcPr>
            <w:tcW w:w="9371" w:type="dxa"/>
            <w:gridSpan w:val="10"/>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2"/>
                <w:szCs w:val="22"/>
              </w:rPr>
            </w:pP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检查组签字：</w:t>
            </w: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right"/>
              <w:rPr>
                <w:rFonts w:ascii="宋体" w:hAnsi="宋体" w:cs="宋体"/>
                <w:color w:val="000000"/>
                <w:kern w:val="0"/>
                <w:sz w:val="22"/>
                <w:szCs w:val="22"/>
              </w:rPr>
            </w:pPr>
            <w:r>
              <w:rPr>
                <w:rFonts w:hint="eastAsia" w:ascii="宋体" w:hAnsi="宋体" w:cs="宋体"/>
                <w:color w:val="000000"/>
                <w:kern w:val="0"/>
                <w:sz w:val="22"/>
                <w:szCs w:val="22"/>
              </w:rPr>
              <w:t>年     月      日</w:t>
            </w:r>
          </w:p>
          <w:p>
            <w:pPr>
              <w:widowControl/>
              <w:jc w:val="center"/>
              <w:rPr>
                <w:rFonts w:ascii="宋体" w:hAnsi="宋体" w:cs="宋体"/>
                <w:color w:val="000000"/>
                <w:kern w:val="0"/>
                <w:sz w:val="22"/>
                <w:szCs w:val="22"/>
              </w:rPr>
            </w:pPr>
          </w:p>
        </w:tc>
      </w:tr>
    </w:tbl>
    <w:p>
      <w:pPr>
        <w:sectPr>
          <w:pgSz w:w="11906" w:h="16838"/>
          <w:pgMar w:top="1418" w:right="1134" w:bottom="1418" w:left="1418" w:header="851" w:footer="992" w:gutter="0"/>
          <w:cols w:space="425" w:num="1"/>
          <w:docGrid w:linePitch="312" w:charSpace="0"/>
        </w:sectPr>
      </w:pPr>
    </w:p>
    <w:tbl>
      <w:tblPr>
        <w:tblStyle w:val="5"/>
        <w:tblW w:w="14475" w:type="dxa"/>
        <w:tblInd w:w="0" w:type="dxa"/>
        <w:tblLayout w:type="fixed"/>
        <w:tblCellMar>
          <w:top w:w="17" w:type="dxa"/>
          <w:left w:w="17" w:type="dxa"/>
          <w:bottom w:w="17" w:type="dxa"/>
          <w:right w:w="17" w:type="dxa"/>
        </w:tblCellMar>
      </w:tblPr>
      <w:tblGrid>
        <w:gridCol w:w="690"/>
        <w:gridCol w:w="1215"/>
        <w:gridCol w:w="3439"/>
        <w:gridCol w:w="6206"/>
        <w:gridCol w:w="2925"/>
      </w:tblGrid>
      <w:tr>
        <w:tblPrEx>
          <w:tblLayout w:type="fixed"/>
          <w:tblCellMar>
            <w:top w:w="17" w:type="dxa"/>
            <w:left w:w="17" w:type="dxa"/>
            <w:bottom w:w="17" w:type="dxa"/>
            <w:right w:w="17" w:type="dxa"/>
          </w:tblCellMar>
        </w:tblPrEx>
        <w:trPr>
          <w:trHeight w:val="406" w:hRule="atLeast"/>
        </w:trPr>
        <w:tc>
          <w:tcPr>
            <w:tcW w:w="14475" w:type="dxa"/>
            <w:gridSpan w:val="5"/>
            <w:shd w:val="clear" w:color="auto" w:fill="auto"/>
            <w:vAlign w:val="center"/>
          </w:tcPr>
          <w:p>
            <w:pPr>
              <w:jc w:val="center"/>
              <w:rPr>
                <w:rFonts w:ascii="宋体" w:hAnsi="宋体" w:cs="宋体"/>
                <w:color w:val="000000"/>
                <w:sz w:val="22"/>
                <w:szCs w:val="22"/>
              </w:rPr>
            </w:pPr>
            <w:r>
              <w:rPr>
                <w:rFonts w:hint="eastAsia" w:ascii="宋体" w:hAnsi="宋体" w:cs="宋体"/>
                <w:b/>
                <w:color w:val="000000"/>
                <w:kern w:val="0"/>
                <w:sz w:val="24"/>
                <w:szCs w:val="24"/>
              </w:rPr>
              <w:t>云南省专用水文测站水文监测活动监督检查内容及评价标准</w:t>
            </w:r>
          </w:p>
        </w:tc>
      </w:tr>
      <w:tr>
        <w:tblPrEx>
          <w:tblLayout w:type="fixed"/>
          <w:tblCellMar>
            <w:top w:w="17" w:type="dxa"/>
            <w:left w:w="17" w:type="dxa"/>
            <w:bottom w:w="17" w:type="dxa"/>
            <w:right w:w="17" w:type="dxa"/>
          </w:tblCellMar>
        </w:tblPrEx>
        <w:trPr>
          <w:trHeight w:val="33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序号</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类别</w:t>
            </w:r>
          </w:p>
        </w:tc>
        <w:tc>
          <w:tcPr>
            <w:tcW w:w="34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检查内容和要求</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评价标准</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备查资料</w:t>
            </w:r>
          </w:p>
        </w:tc>
      </w:tr>
      <w:tr>
        <w:tblPrEx>
          <w:tblLayout w:type="fixed"/>
          <w:tblCellMar>
            <w:top w:w="17" w:type="dxa"/>
            <w:left w:w="17" w:type="dxa"/>
            <w:bottom w:w="17" w:type="dxa"/>
            <w:right w:w="17" w:type="dxa"/>
          </w:tblCellMar>
        </w:tblPrEx>
        <w:trPr>
          <w:trHeight w:val="68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设站及监测活动依据</w:t>
            </w:r>
          </w:p>
        </w:tc>
        <w:tc>
          <w:tcPr>
            <w:tcW w:w="34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设立批准：具备设立批准文件，按照批准的监测项目实施监测，监测项目及站名发生变化及时向省水文局申请变更。</w:t>
            </w:r>
          </w:p>
        </w:tc>
        <w:tc>
          <w:tcPr>
            <w:tcW w:w="6206" w:type="dxa"/>
            <w:tcBorders>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1.专用水文测站经云南省水文水资源局批准设立，得5分；</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2.按照批准的监测项目实施监测或者增减水文监测项目经备案的，得3分。</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3.站名未发生变更或变更经备案的，得2分。</w:t>
            </w:r>
          </w:p>
        </w:tc>
        <w:tc>
          <w:tcPr>
            <w:tcW w:w="2925" w:type="dxa"/>
            <w:tcBorders>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专用水文站审批或备案文件；监测项目或站名变更备案文件。</w:t>
            </w:r>
          </w:p>
        </w:tc>
      </w:tr>
      <w:tr>
        <w:tblPrEx>
          <w:tblLayout w:type="fixed"/>
          <w:tblCellMar>
            <w:top w:w="17" w:type="dxa"/>
            <w:left w:w="17" w:type="dxa"/>
            <w:bottom w:w="17" w:type="dxa"/>
            <w:right w:w="17" w:type="dxa"/>
          </w:tblCellMar>
        </w:tblPrEx>
        <w:trPr>
          <w:trHeight w:val="68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监测人员</w:t>
            </w:r>
          </w:p>
        </w:tc>
        <w:tc>
          <w:tcPr>
            <w:tcW w:w="34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监测人员：从事专用水文站水文监测活动的工作人员应具有相应的专业技术能力或上岗培训证明；制定相关测站任务书、水文监测方案及应急监测制度；各项内部管理制度健全。</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1.技术负责人、测站驻站监测或巡测人员具有相应的专业技术能力，有相关水文监测技术上岗证、培训证明或记录，满分8分；</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2.工作任务分工合理明确，制定了测站任务书、水文站测报方案及应急监测制度，内部管理制度健全，满分7分。</w:t>
            </w:r>
          </w:p>
        </w:tc>
        <w:tc>
          <w:tcPr>
            <w:tcW w:w="2925" w:type="dxa"/>
            <w:tcBorders>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技术负责人、测站驻站监测或巡测人员的学历证书、职称证、岗位培训证书或学习记录等；测站任务书及人员职责、测报方案、测站应急监测方案及相关管理制度。</w:t>
            </w:r>
          </w:p>
        </w:tc>
      </w:tr>
      <w:tr>
        <w:tblPrEx>
          <w:tblLayout w:type="fixed"/>
          <w:tblCellMar>
            <w:top w:w="17" w:type="dxa"/>
            <w:left w:w="17" w:type="dxa"/>
            <w:bottom w:w="17" w:type="dxa"/>
            <w:right w:w="17" w:type="dxa"/>
          </w:tblCellMar>
        </w:tblPrEx>
        <w:trPr>
          <w:trHeight w:val="68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监测环境</w:t>
            </w:r>
          </w:p>
        </w:tc>
        <w:tc>
          <w:tcPr>
            <w:tcW w:w="34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监测环境：各监测项目的监测环境条件符合相应技术规范及标准规定。</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1.降蒸观测场选址合理，场地环境及设置符合规范要求，满分6分；</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2.水位和流量测验河段选址及断面布设符合规范要求，有应急备用方案及设施，满分9分；</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3.配套生产、生活设施满足测站功能及运行管理需求，满分5分。</w:t>
            </w:r>
          </w:p>
        </w:tc>
        <w:tc>
          <w:tcPr>
            <w:tcW w:w="2925" w:type="dxa"/>
            <w:tcBorders>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r>
      <w:tr>
        <w:tblPrEx>
          <w:tblLayout w:type="fixed"/>
          <w:tblCellMar>
            <w:top w:w="17" w:type="dxa"/>
            <w:left w:w="17" w:type="dxa"/>
            <w:bottom w:w="17" w:type="dxa"/>
            <w:right w:w="17" w:type="dxa"/>
          </w:tblCellMar>
        </w:tblPrEx>
        <w:trPr>
          <w:trHeight w:val="68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设施设备</w:t>
            </w:r>
          </w:p>
        </w:tc>
        <w:tc>
          <w:tcPr>
            <w:tcW w:w="34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设施设备：水文监测计量器具须符合国家规定的技术标准和相关要求，应当定期送具有相应资质的水文计量检定机构检定。</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1.水文监测设施布局及数量、监测设备选型及安装或配置满足规范要求，满分5分；</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2.流速仪按规范定期送水文计量检定机构检定；雨量计、水准仪、天平等测量设备按规范检定或校准，满分7分；</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3.定期或不定期开展设施设备维修保养，确保各类设施设备运行状态良好，满分8分。</w:t>
            </w:r>
          </w:p>
        </w:tc>
        <w:tc>
          <w:tcPr>
            <w:tcW w:w="2925" w:type="dxa"/>
            <w:tcBorders>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流速仪检定证书、使用记录，雨量计、水准仪、天平等测量设备检定或校准记录；设施设备巡检、维修及保养记录等。</w:t>
            </w:r>
          </w:p>
        </w:tc>
      </w:tr>
      <w:tr>
        <w:tblPrEx>
          <w:tblLayout w:type="fixed"/>
          <w:tblCellMar>
            <w:top w:w="17" w:type="dxa"/>
            <w:left w:w="17" w:type="dxa"/>
            <w:bottom w:w="17" w:type="dxa"/>
            <w:right w:w="17" w:type="dxa"/>
          </w:tblCellMar>
        </w:tblPrEx>
        <w:trPr>
          <w:trHeight w:val="68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5</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监测业务及技术管理</w:t>
            </w:r>
          </w:p>
        </w:tc>
        <w:tc>
          <w:tcPr>
            <w:tcW w:w="34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监测业务及技术管理：水文资料的监测及整编应严格按照国家和水文行业相关规程、规范及技术标准开展，建立有完善的技术管理和质量保证体系。</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1.建立了水文监测及资料整编技术管理制度及质量保证措施，满分7分；</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2.各监测要素的监测方法、数据记录、分析计算及整理符合相应标准及规范要求，满分8分。</w:t>
            </w:r>
          </w:p>
        </w:tc>
        <w:tc>
          <w:tcPr>
            <w:tcW w:w="2925" w:type="dxa"/>
            <w:tcBorders>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技术管理制度及质量保证文件，水文监测记录、分析计算、校审整理成果等文件。</w:t>
            </w:r>
          </w:p>
        </w:tc>
      </w:tr>
      <w:tr>
        <w:tblPrEx>
          <w:tblLayout w:type="fixed"/>
          <w:tblCellMar>
            <w:top w:w="17" w:type="dxa"/>
            <w:left w:w="17" w:type="dxa"/>
            <w:bottom w:w="17" w:type="dxa"/>
            <w:right w:w="17" w:type="dxa"/>
          </w:tblCellMar>
        </w:tblPrEx>
        <w:trPr>
          <w:trHeight w:val="68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监测成果质量及汇交</w:t>
            </w:r>
          </w:p>
        </w:tc>
        <w:tc>
          <w:tcPr>
            <w:tcW w:w="34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监测成果质量及汇交：水文监测成果符合国家、行业标准和水文技术规范要求，年度水文监测资料应于次年前向有关水文机构汇交。</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1.年度水文监测资料及时按照《水文资料整编规范》完成整编、审查和复审，成果质量合格，满分10分；</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2.年度水文监测资料按照《中华人民共和国水文条例》规定及时向有关水文机构汇交，得分10分。</w:t>
            </w:r>
          </w:p>
        </w:tc>
        <w:tc>
          <w:tcPr>
            <w:tcW w:w="2925" w:type="dxa"/>
            <w:tcBorders>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水文资料整编成果文件，资料汇交情况。</w:t>
            </w:r>
          </w:p>
        </w:tc>
      </w:tr>
      <w:tr>
        <w:tblPrEx>
          <w:tblLayout w:type="fixed"/>
          <w:tblCellMar>
            <w:top w:w="17" w:type="dxa"/>
            <w:left w:w="17" w:type="dxa"/>
            <w:bottom w:w="17" w:type="dxa"/>
            <w:right w:w="17" w:type="dxa"/>
          </w:tblCellMar>
        </w:tblPrEx>
        <w:trPr>
          <w:trHeight w:val="680" w:hRule="atLeast"/>
        </w:trPr>
        <w:tc>
          <w:tcPr>
            <w:tcW w:w="14475" w:type="dxa"/>
            <w:gridSpan w:val="5"/>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 xml:space="preserve">注：满分共计100分，90分以上为优秀，70分以上合格；60分--69分为基本合格；59分及以下为不合格。                                                                                                  </w:t>
            </w:r>
          </w:p>
        </w:tc>
      </w:tr>
    </w:tbl>
    <w:p/>
    <w:sectPr>
      <w:pgSz w:w="16838" w:h="11906" w:orient="landscape"/>
      <w:pgMar w:top="1418" w:right="1418" w:bottom="1134" w:left="1418" w:header="851" w:footer="992" w:gutter="0"/>
      <w:cols w:space="425" w:num="1"/>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7845"/>
    <w:rsid w:val="00005B3E"/>
    <w:rsid w:val="00035358"/>
    <w:rsid w:val="0007013E"/>
    <w:rsid w:val="000722C2"/>
    <w:rsid w:val="00087D28"/>
    <w:rsid w:val="00092AEA"/>
    <w:rsid w:val="000B6076"/>
    <w:rsid w:val="000D73C8"/>
    <w:rsid w:val="000E7637"/>
    <w:rsid w:val="00114A54"/>
    <w:rsid w:val="00126C70"/>
    <w:rsid w:val="001347F0"/>
    <w:rsid w:val="00146079"/>
    <w:rsid w:val="00155D5A"/>
    <w:rsid w:val="00167770"/>
    <w:rsid w:val="00171A32"/>
    <w:rsid w:val="001765BE"/>
    <w:rsid w:val="001972FC"/>
    <w:rsid w:val="00201A16"/>
    <w:rsid w:val="00203389"/>
    <w:rsid w:val="00240177"/>
    <w:rsid w:val="00293F46"/>
    <w:rsid w:val="002B0FB7"/>
    <w:rsid w:val="002C0113"/>
    <w:rsid w:val="002D44EB"/>
    <w:rsid w:val="002E5430"/>
    <w:rsid w:val="00351D02"/>
    <w:rsid w:val="003A0312"/>
    <w:rsid w:val="003F00AE"/>
    <w:rsid w:val="00403C03"/>
    <w:rsid w:val="004077AC"/>
    <w:rsid w:val="0044160E"/>
    <w:rsid w:val="00454D6F"/>
    <w:rsid w:val="00470E43"/>
    <w:rsid w:val="004A474F"/>
    <w:rsid w:val="004B3642"/>
    <w:rsid w:val="004D247F"/>
    <w:rsid w:val="004D4F73"/>
    <w:rsid w:val="004E0367"/>
    <w:rsid w:val="004E6E13"/>
    <w:rsid w:val="005002F4"/>
    <w:rsid w:val="00500610"/>
    <w:rsid w:val="0051012B"/>
    <w:rsid w:val="00515373"/>
    <w:rsid w:val="00515C4D"/>
    <w:rsid w:val="0051708E"/>
    <w:rsid w:val="005619F9"/>
    <w:rsid w:val="00572AAB"/>
    <w:rsid w:val="005767EA"/>
    <w:rsid w:val="00582635"/>
    <w:rsid w:val="005A55B0"/>
    <w:rsid w:val="005C138D"/>
    <w:rsid w:val="005E3037"/>
    <w:rsid w:val="005E4C4E"/>
    <w:rsid w:val="005E4DFD"/>
    <w:rsid w:val="00601280"/>
    <w:rsid w:val="00610155"/>
    <w:rsid w:val="006107F2"/>
    <w:rsid w:val="006349C1"/>
    <w:rsid w:val="00646BF4"/>
    <w:rsid w:val="00650929"/>
    <w:rsid w:val="00656A51"/>
    <w:rsid w:val="006654DF"/>
    <w:rsid w:val="00674F85"/>
    <w:rsid w:val="006878E9"/>
    <w:rsid w:val="006D50F3"/>
    <w:rsid w:val="006E20A7"/>
    <w:rsid w:val="00727A1D"/>
    <w:rsid w:val="00737419"/>
    <w:rsid w:val="007607FB"/>
    <w:rsid w:val="007662F2"/>
    <w:rsid w:val="007665AC"/>
    <w:rsid w:val="007A37CA"/>
    <w:rsid w:val="007B41C5"/>
    <w:rsid w:val="007D0BC6"/>
    <w:rsid w:val="00800CD9"/>
    <w:rsid w:val="00824350"/>
    <w:rsid w:val="008429FD"/>
    <w:rsid w:val="008440BD"/>
    <w:rsid w:val="00855163"/>
    <w:rsid w:val="00860A3F"/>
    <w:rsid w:val="00865A09"/>
    <w:rsid w:val="008C1865"/>
    <w:rsid w:val="008D4846"/>
    <w:rsid w:val="008F1D26"/>
    <w:rsid w:val="009008D1"/>
    <w:rsid w:val="0092250A"/>
    <w:rsid w:val="00924D95"/>
    <w:rsid w:val="00937AC1"/>
    <w:rsid w:val="009769D0"/>
    <w:rsid w:val="009877A7"/>
    <w:rsid w:val="00990EB0"/>
    <w:rsid w:val="009B691B"/>
    <w:rsid w:val="009B6D1D"/>
    <w:rsid w:val="009D26C9"/>
    <w:rsid w:val="009D62CB"/>
    <w:rsid w:val="009D76ED"/>
    <w:rsid w:val="009F2763"/>
    <w:rsid w:val="009F4411"/>
    <w:rsid w:val="00A03C3C"/>
    <w:rsid w:val="00A12C1F"/>
    <w:rsid w:val="00A13489"/>
    <w:rsid w:val="00A334BA"/>
    <w:rsid w:val="00A5215E"/>
    <w:rsid w:val="00A53169"/>
    <w:rsid w:val="00A5744B"/>
    <w:rsid w:val="00A60F34"/>
    <w:rsid w:val="00A667CA"/>
    <w:rsid w:val="00A83603"/>
    <w:rsid w:val="00AA3ADA"/>
    <w:rsid w:val="00AB26A9"/>
    <w:rsid w:val="00AC410C"/>
    <w:rsid w:val="00AF1BD1"/>
    <w:rsid w:val="00B021EF"/>
    <w:rsid w:val="00B04914"/>
    <w:rsid w:val="00B37142"/>
    <w:rsid w:val="00B3734A"/>
    <w:rsid w:val="00B9092C"/>
    <w:rsid w:val="00BB2912"/>
    <w:rsid w:val="00BC78A3"/>
    <w:rsid w:val="00BD15E3"/>
    <w:rsid w:val="00BD4E23"/>
    <w:rsid w:val="00BD5604"/>
    <w:rsid w:val="00BE262B"/>
    <w:rsid w:val="00BF5478"/>
    <w:rsid w:val="00BF6790"/>
    <w:rsid w:val="00C16B90"/>
    <w:rsid w:val="00C17EB0"/>
    <w:rsid w:val="00C71ED1"/>
    <w:rsid w:val="00C8623F"/>
    <w:rsid w:val="00CA510E"/>
    <w:rsid w:val="00CA532E"/>
    <w:rsid w:val="00CC05AD"/>
    <w:rsid w:val="00CD2E0A"/>
    <w:rsid w:val="00CD41E8"/>
    <w:rsid w:val="00CD6744"/>
    <w:rsid w:val="00D16A3D"/>
    <w:rsid w:val="00D1752E"/>
    <w:rsid w:val="00D4183F"/>
    <w:rsid w:val="00D41D1B"/>
    <w:rsid w:val="00D47A57"/>
    <w:rsid w:val="00D51322"/>
    <w:rsid w:val="00D52484"/>
    <w:rsid w:val="00D56AC3"/>
    <w:rsid w:val="00D6320B"/>
    <w:rsid w:val="00D974FA"/>
    <w:rsid w:val="00DA53AE"/>
    <w:rsid w:val="00DA77BC"/>
    <w:rsid w:val="00DB21CE"/>
    <w:rsid w:val="00DB52FB"/>
    <w:rsid w:val="00DD062B"/>
    <w:rsid w:val="00DD6D76"/>
    <w:rsid w:val="00DF0C24"/>
    <w:rsid w:val="00DF53BE"/>
    <w:rsid w:val="00E004C9"/>
    <w:rsid w:val="00E44E24"/>
    <w:rsid w:val="00E47845"/>
    <w:rsid w:val="00E523C7"/>
    <w:rsid w:val="00E6147A"/>
    <w:rsid w:val="00E61ECC"/>
    <w:rsid w:val="00E96403"/>
    <w:rsid w:val="00E971C2"/>
    <w:rsid w:val="00EC301F"/>
    <w:rsid w:val="00EF2B82"/>
    <w:rsid w:val="00F0500E"/>
    <w:rsid w:val="00F140E2"/>
    <w:rsid w:val="00F30E2C"/>
    <w:rsid w:val="00F632F2"/>
    <w:rsid w:val="00F8381A"/>
    <w:rsid w:val="00FB3647"/>
    <w:rsid w:val="00FB52AF"/>
    <w:rsid w:val="00FE2368"/>
    <w:rsid w:val="00FE60B7"/>
    <w:rsid w:val="10CD7D56"/>
    <w:rsid w:val="187D4A41"/>
    <w:rsid w:val="1D98644A"/>
    <w:rsid w:val="33B376AD"/>
    <w:rsid w:val="4D46247B"/>
    <w:rsid w:val="508168E0"/>
    <w:rsid w:val="534D6A7C"/>
    <w:rsid w:val="5B422D6C"/>
    <w:rsid w:val="6C403648"/>
    <w:rsid w:val="6D840E23"/>
    <w:rsid w:val="72F814CB"/>
    <w:rsid w:val="75225CA2"/>
    <w:rsid w:val="7B2D472C"/>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szCs w:val="28"/>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xl38"/>
    <w:basedOn w:val="1"/>
    <w:uiPriority w:val="0"/>
    <w:pPr>
      <w:widowControl/>
      <w:spacing w:before="100" w:beforeAutospacing="1" w:after="100" w:afterAutospacing="1"/>
      <w:jc w:val="center"/>
    </w:pPr>
    <w:rPr>
      <w:rFonts w:ascii="宋体" w:hAnsi="宋体" w:cs="宋体"/>
      <w:b/>
      <w:bCs/>
      <w:kern w:val="0"/>
      <w:sz w:val="48"/>
      <w:szCs w:val="48"/>
    </w:rPr>
  </w:style>
  <w:style w:type="character" w:customStyle="1" w:styleId="7">
    <w:name w:val="font21"/>
    <w:basedOn w:val="4"/>
    <w:qFormat/>
    <w:uiPriority w:val="0"/>
    <w:rPr>
      <w:rFonts w:hint="eastAsia" w:ascii="宋体" w:hAnsi="宋体" w:eastAsia="宋体"/>
      <w:color w:val="000000"/>
      <w:sz w:val="21"/>
      <w:szCs w:val="21"/>
      <w:u w:val="none"/>
    </w:rPr>
  </w:style>
  <w:style w:type="character" w:customStyle="1" w:styleId="8">
    <w:name w:val="font11"/>
    <w:basedOn w:val="4"/>
    <w:qFormat/>
    <w:uiPriority w:val="0"/>
    <w:rPr>
      <w:rFonts w:hint="eastAsia" w:ascii="宋体" w:hAnsi="宋体" w:eastAsia="宋体"/>
      <w:color w:val="000000"/>
      <w:sz w:val="21"/>
      <w:szCs w:val="21"/>
      <w:u w:val="single"/>
    </w:rPr>
  </w:style>
  <w:style w:type="character" w:customStyle="1" w:styleId="9">
    <w:name w:val="font01"/>
    <w:basedOn w:val="4"/>
    <w:qFormat/>
    <w:uiPriority w:val="0"/>
    <w:rPr>
      <w:rFonts w:hint="eastAsia" w:ascii="宋体" w:hAnsi="宋体" w:eastAsia="宋体"/>
      <w:color w:val="000000"/>
      <w:sz w:val="21"/>
      <w:szCs w:val="21"/>
      <w:u w:val="none"/>
      <w:vertAlign w:val="superscript"/>
    </w:rPr>
  </w:style>
  <w:style w:type="character" w:customStyle="1" w:styleId="10">
    <w:name w:val="页眉 Char"/>
    <w:basedOn w:val="4"/>
    <w:link w:val="3"/>
    <w:semiHidden/>
    <w:qFormat/>
    <w:uiPriority w:val="99"/>
    <w:rPr>
      <w:kern w:val="2"/>
      <w:sz w:val="18"/>
      <w:szCs w:val="18"/>
    </w:rPr>
  </w:style>
  <w:style w:type="character" w:customStyle="1" w:styleId="11">
    <w:name w:val="页脚 Char"/>
    <w:basedOn w:val="4"/>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497</Words>
  <Characters>2834</Characters>
  <Lines>23</Lines>
  <Paragraphs>6</Paragraphs>
  <ScaleCrop>false</ScaleCrop>
  <LinksUpToDate>false</LinksUpToDate>
  <CharactersWithSpaces>3325</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2017-10-14T08:11:00Z</dcterms:created>
  <dc:creator>刘永兴</dc:creator>
  <cp:lastModifiedBy>余乐</cp:lastModifiedBy>
  <dcterms:modified xsi:type="dcterms:W3CDTF">2019-12-04T07:43:03Z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