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left="0" w:leftChars="0" w:firstLine="0" w:firstLineChars="0"/>
        <w:outlineLvl w:val="0"/>
        <w:rPr>
          <w:rFonts w:hint="eastAsia" w:ascii="宋体" w:hAnsi="宋体" w:eastAsia="方正黑体_GBK" w:cs="方正黑体_GBK"/>
          <w:sz w:val="32"/>
          <w:szCs w:val="32"/>
        </w:rPr>
      </w:pPr>
      <w:r>
        <w:rPr>
          <w:rFonts w:ascii="宋体" w:hAnsi="宋体"/>
          <w:sz w:val="32"/>
        </w:rPr>
        <mc:AlternateContent>
          <mc:Choice Requires="wps">
            <w:drawing>
              <wp:anchor distT="0" distB="0" distL="114300" distR="114300" simplePos="0" relativeHeight="251660288" behindDoc="0" locked="0" layoutInCell="1" allowOverlap="1">
                <wp:simplePos x="0" y="0"/>
                <wp:positionH relativeFrom="column">
                  <wp:posOffset>-551815</wp:posOffset>
                </wp:positionH>
                <wp:positionV relativeFrom="paragraph">
                  <wp:posOffset>-642620</wp:posOffset>
                </wp:positionV>
                <wp:extent cx="502920" cy="1189990"/>
                <wp:effectExtent l="0" t="0" r="0" b="0"/>
                <wp:wrapNone/>
                <wp:docPr id="12" name="文本框 12"/>
                <wp:cNvGraphicFramePr/>
                <a:graphic xmlns:a="http://schemas.openxmlformats.org/drawingml/2006/main">
                  <a:graphicData uri="http://schemas.microsoft.com/office/word/2010/wordprocessingShape">
                    <wps:wsp>
                      <wps:cNvSpPr txBox="1"/>
                      <wps:spPr>
                        <a:xfrm>
                          <a:off x="3380105" y="2932430"/>
                          <a:ext cx="502920" cy="895350"/>
                        </a:xfrm>
                        <a:prstGeom prst="rect">
                          <a:avLst/>
                        </a:prstGeom>
                        <a:noFill/>
                        <a:ln w="6350">
                          <a:noFill/>
                        </a:ln>
                        <a:effectLst/>
                      </wps:spPr>
                      <wps:txbx>
                        <w:txbxContent>
                          <w:p>
                            <w:pPr>
                              <w:rPr>
                                <w:rFonts w:hint="eastAsia" w:ascii="宋体" w:hAnsi="宋体" w:eastAsia="宋体" w:cs="宋体"/>
                                <w:sz w:val="28"/>
                                <w:szCs w:val="28"/>
                                <w:lang w:val="en-US" w:eastAsia="zh-CN"/>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45pt;margin-top:-50.6pt;height:93.7pt;width:39.6pt;z-index:251660288;mso-width-relative:page;mso-height-relative:page;" filled="f" stroked="f" coordsize="21600,21600" o:gfxdata="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H0v7dkAAAAKAQAADwAA&#10;AAAAAAABACAAAAAiAAAAZHJzL2Rvd25yZXYueG1sUEsBAhQAFAAAAAgAh07iQP/f1jVOAgAAgwQA&#10;AA4AAAAAAAAAAQAgAAAAKAEAAGRycy9lMm9Eb2MueG1sUEsFBgAAAAAGAAYAWQEAAOgFAAAAAA==&#10;">
                <v:path/>
                <v:fill on="f" focussize="0,0"/>
                <v:stroke on="f" weight="0.5pt"/>
                <v:imagedata o:title=""/>
                <o:lock v:ext="edit" aspectratio="f"/>
                <v:textbox style="layout-flow:vertical-ideographic;">
                  <w:txbxContent>
                    <w:p>
                      <w:pPr>
                        <w:rPr>
                          <w:rFonts w:hint="eastAsia" w:ascii="宋体" w:hAnsi="宋体" w:eastAsia="宋体" w:cs="宋体"/>
                          <w:sz w:val="28"/>
                          <w:szCs w:val="28"/>
                          <w:lang w:val="en-US" w:eastAsia="zh-CN"/>
                        </w:rPr>
                      </w:pPr>
                    </w:p>
                  </w:txbxContent>
                </v:textbox>
              </v:shape>
            </w:pict>
          </mc:Fallback>
        </mc:AlternateContent>
      </w:r>
      <w:r>
        <w:rPr>
          <w:rFonts w:hint="eastAsia" w:ascii="宋体" w:hAnsi="宋体" w:eastAsia="方正黑体_GBK" w:cs="方正黑体_GBK"/>
          <w:sz w:val="32"/>
          <w:szCs w:val="32"/>
        </w:rPr>
        <w:t>附件1</w:t>
      </w:r>
      <w:bookmarkStart w:id="0" w:name="_GoBack"/>
      <w:bookmarkEnd w:id="0"/>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32"/>
          <w:szCs w:val="32"/>
        </w:rPr>
      </w:pPr>
      <w:r>
        <w:rPr>
          <w:rFonts w:hint="eastAsia" w:ascii="宋体" w:hAnsi="宋体" w:eastAsia="方正小标宋_GBK" w:cs="方正小标宋_GBK"/>
          <w:snapToGrid w:val="0"/>
          <w:spacing w:val="-11"/>
          <w:kern w:val="0"/>
          <w:sz w:val="32"/>
          <w:szCs w:val="32"/>
        </w:rPr>
        <w:t>水土保持工程建设以奖代补奖补参考标准</w:t>
      </w:r>
    </w:p>
    <w:tbl>
      <w:tblPr>
        <w:tblStyle w:val="9"/>
        <w:tblW w:w="139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62"/>
        <w:gridCol w:w="966"/>
        <w:gridCol w:w="1302"/>
        <w:gridCol w:w="983"/>
        <w:gridCol w:w="969"/>
        <w:gridCol w:w="968"/>
        <w:gridCol w:w="968"/>
        <w:gridCol w:w="968"/>
        <w:gridCol w:w="968"/>
        <w:gridCol w:w="764"/>
        <w:gridCol w:w="764"/>
        <w:gridCol w:w="797"/>
        <w:gridCol w:w="13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1429385" cy="703580"/>
                      <wp:effectExtent l="1905" t="4445" r="16510" b="15875"/>
                      <wp:wrapNone/>
                      <wp:docPr id="3" name="直接连接符 3"/>
                      <wp:cNvGraphicFramePr/>
                      <a:graphic xmlns:a="http://schemas.openxmlformats.org/drawingml/2006/main">
                        <a:graphicData uri="http://schemas.microsoft.com/office/word/2010/wordprocessingShape">
                          <wps:wsp>
                            <wps:cNvSpPr/>
                            <wps:spPr>
                              <a:xfrm>
                                <a:off x="0" y="0"/>
                                <a:ext cx="1429385" cy="7035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75pt;height:55.4pt;width:112.55pt;z-index:251659264;mso-width-relative:page;mso-height-relative:page;" filled="f" stroked="t" coordsize="21600,21600" o:gfxdata="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fu8Mt1AAAAAYBAAAPAAAAAAAAAAEAIAAAACIAAABkcnMvZG93bnJldi54bWxQ&#10;SwECFAAUAAAACACHTuJAol2ltfsBAADpAwAADgAAAAAAAAABACAAAAAjAQAAZHJzL2Uyb0RvYy54&#10;bWxQSwUGAAAAAAYABgBZAQAAkAUAAAAA&#10;">
                      <v:path arrowok="t"/>
                      <v:fill on="f" focussize="0,0"/>
                      <v:stroke/>
                      <v:imagedata o:title=""/>
                      <o:lock v:ext="edit" aspectratio="f"/>
                    </v:line>
                  </w:pict>
                </mc:Fallback>
              </mc:AlternateContent>
            </w:r>
            <w:r>
              <w:rPr>
                <w:rFonts w:hint="eastAsia" w:ascii="宋体" w:hAnsi="宋体" w:eastAsia="宋体" w:cs="宋体"/>
                <w:color w:val="auto"/>
                <w:sz w:val="24"/>
                <w:szCs w:val="24"/>
              </w:rPr>
              <w:t>措施类型</w:t>
            </w:r>
          </w:p>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建设主体</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坡改梯工程</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坡面水系工程</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沟头防护工程</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塘堰整治</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溪沟整治</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谷坊</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田间道路</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水土保持林</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经济</w:t>
            </w:r>
            <w:r>
              <w:rPr>
                <w:rFonts w:hint="eastAsia" w:ascii="宋体" w:hAnsi="宋体" w:eastAsia="宋体" w:cs="宋体"/>
                <w:color w:val="auto"/>
                <w:sz w:val="24"/>
                <w:szCs w:val="24"/>
                <w:lang w:eastAsia="zh-CN"/>
              </w:rPr>
              <w:t>果木</w:t>
            </w:r>
            <w:r>
              <w:rPr>
                <w:rFonts w:hint="eastAsia" w:ascii="宋体" w:hAnsi="宋体" w:eastAsia="宋体" w:cs="宋体"/>
                <w:color w:val="auto"/>
                <w:sz w:val="24"/>
                <w:szCs w:val="24"/>
              </w:rPr>
              <w:t>林</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种草</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封</w:t>
            </w:r>
            <w:r>
              <w:rPr>
                <w:rFonts w:hint="eastAsia" w:ascii="宋体" w:hAnsi="宋体" w:eastAsia="宋体" w:cs="宋体"/>
                <w:color w:val="auto"/>
                <w:sz w:val="24"/>
                <w:szCs w:val="24"/>
                <w:lang w:eastAsia="zh-CN"/>
              </w:rPr>
              <w:t>禁治理</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78" w:lineRule="exact"/>
              <w:ind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生态清洁小流域</w:t>
            </w:r>
            <w:r>
              <w:rPr>
                <w:rFonts w:hint="eastAsia" w:ascii="宋体" w:hAnsi="宋体" w:eastAsia="宋体" w:cs="宋体"/>
                <w:color w:val="auto"/>
                <w:sz w:val="24"/>
                <w:szCs w:val="24"/>
                <w:lang w:val="en-US" w:eastAsia="zh-CN"/>
              </w:rPr>
              <w:t>纳入奖补措施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农民合作社</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家庭农场</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村组集体</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专业大户</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农户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个人</w:t>
            </w:r>
            <w:r>
              <w:rPr>
                <w:rFonts w:hint="eastAsia" w:ascii="宋体" w:hAnsi="宋体" w:eastAsia="宋体" w:cs="宋体"/>
                <w:color w:val="auto"/>
                <w:sz w:val="24"/>
                <w:szCs w:val="24"/>
                <w:lang w:eastAsia="zh-CN"/>
              </w:rPr>
              <w:t>）</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262" w:type="dxa"/>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其他企业、社会组织</w:t>
            </w:r>
          </w:p>
        </w:tc>
        <w:tc>
          <w:tcPr>
            <w:tcW w:w="9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8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≦50%</w:t>
            </w:r>
          </w:p>
        </w:tc>
        <w:tc>
          <w:tcPr>
            <w:tcW w:w="9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76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79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c>
          <w:tcPr>
            <w:tcW w:w="13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58"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w:t>
            </w:r>
          </w:p>
        </w:tc>
      </w:tr>
    </w:tbl>
    <w:p>
      <w:pPr>
        <w:spacing w:line="360" w:lineRule="auto"/>
        <w:rPr>
          <w:rFonts w:hint="eastAsia" w:ascii="宋体" w:hAnsi="宋体" w:eastAsia="方正仿宋_GBK" w:cs="方正仿宋_GBK"/>
          <w:sz w:val="32"/>
          <w:szCs w:val="32"/>
        </w:rPr>
      </w:pPr>
    </w:p>
    <w:p>
      <w:pPr>
        <w:pStyle w:val="15"/>
        <w:ind w:firstLine="646"/>
        <w:rPr>
          <w:rFonts w:hint="eastAsia" w:ascii="宋体" w:hAnsi="宋体"/>
        </w:rPr>
        <w:sectPr>
          <w:footerReference r:id="rId3" w:type="default"/>
          <w:pgSz w:w="16838" w:h="11905" w:orient="landscape"/>
          <w:pgMar w:top="1644" w:right="1440" w:bottom="1644" w:left="1440" w:header="851" w:footer="992" w:gutter="0"/>
          <w:pgNumType w:fmt="decimal"/>
          <w:cols w:space="720" w:num="1"/>
          <w:docGrid w:type="lines" w:linePitch="325" w:charSpace="0"/>
        </w:sectPr>
      </w:pPr>
    </w:p>
    <w:p>
      <w:pPr>
        <w:adjustRightInd w:val="0"/>
        <w:spacing w:line="560" w:lineRule="exact"/>
        <w:ind w:left="0" w:leftChars="0" w:firstLine="0" w:firstLineChars="0"/>
        <w:outlineLvl w:val="0"/>
        <w:rPr>
          <w:rFonts w:hint="eastAsia" w:ascii="宋体" w:hAnsi="宋体" w:eastAsia="方正黑体_GBK" w:cs="方正黑体_GBK"/>
          <w:sz w:val="32"/>
          <w:szCs w:val="32"/>
        </w:rPr>
      </w:pPr>
      <w:r>
        <w:rPr>
          <w:rFonts w:hint="eastAsia" w:ascii="宋体" w:hAnsi="宋体" w:eastAsia="方正黑体_GBK" w:cs="方正黑体_GBK"/>
          <w:sz w:val="32"/>
          <w:szCs w:val="32"/>
        </w:rPr>
        <w:t>附件2</w:t>
      </w:r>
    </w:p>
    <w:p>
      <w:pPr>
        <w:adjustRightInd w:val="0"/>
        <w:spacing w:line="560" w:lineRule="exact"/>
        <w:jc w:val="center"/>
        <w:outlineLvl w:val="0"/>
        <w:rPr>
          <w:rFonts w:hint="eastAsia" w:ascii="宋体" w:hAnsi="宋体" w:eastAsia="方正小标宋_GBK" w:cs="方正小标宋_GBK"/>
          <w:snapToGrid w:val="0"/>
          <w:spacing w:val="-11"/>
          <w:kern w:val="0"/>
          <w:sz w:val="32"/>
          <w:szCs w:val="32"/>
        </w:rPr>
      </w:pPr>
      <w:r>
        <w:rPr>
          <w:rFonts w:hint="eastAsia" w:ascii="宋体" w:hAnsi="宋体" w:eastAsia="方正小标宋_GBK" w:cs="方正小标宋_GBK"/>
          <w:snapToGrid w:val="0"/>
          <w:spacing w:val="-11"/>
          <w:kern w:val="0"/>
          <w:sz w:val="32"/>
          <w:szCs w:val="32"/>
        </w:rPr>
        <w:t>云南省水土保持工程</w:t>
      </w:r>
      <w:r>
        <w:rPr>
          <w:rFonts w:hint="eastAsia" w:ascii="宋体" w:hAnsi="宋体" w:eastAsia="方正小标宋_GBK" w:cs="方正小标宋_GBK"/>
          <w:snapToGrid w:val="0"/>
          <w:spacing w:val="-11"/>
          <w:kern w:val="0"/>
          <w:sz w:val="32"/>
          <w:szCs w:val="32"/>
          <w:lang w:eastAsia="zh-CN"/>
        </w:rPr>
        <w:t>建设</w:t>
      </w:r>
      <w:r>
        <w:rPr>
          <w:rFonts w:hint="eastAsia" w:ascii="宋体" w:hAnsi="宋体" w:eastAsia="方正小标宋_GBK" w:cs="方正小标宋_GBK"/>
          <w:snapToGrid w:val="0"/>
          <w:spacing w:val="-11"/>
          <w:kern w:val="0"/>
          <w:sz w:val="32"/>
          <w:szCs w:val="32"/>
        </w:rPr>
        <w:t>以奖代补</w:t>
      </w:r>
      <w:r>
        <w:rPr>
          <w:rFonts w:hint="eastAsia" w:ascii="宋体" w:hAnsi="宋体" w:eastAsia="方正小标宋_GBK" w:cs="方正小标宋_GBK"/>
          <w:snapToGrid w:val="0"/>
          <w:spacing w:val="-11"/>
          <w:kern w:val="0"/>
          <w:sz w:val="32"/>
          <w:szCs w:val="32"/>
          <w:lang w:eastAsia="zh-CN"/>
        </w:rPr>
        <w:t>项目</w:t>
      </w:r>
      <w:r>
        <w:rPr>
          <w:rFonts w:hint="eastAsia" w:ascii="宋体" w:hAnsi="宋体" w:eastAsia="方正小标宋_GBK" w:cs="方正小标宋_GBK"/>
          <w:snapToGrid w:val="0"/>
          <w:spacing w:val="-11"/>
          <w:kern w:val="0"/>
          <w:sz w:val="32"/>
          <w:szCs w:val="32"/>
        </w:rPr>
        <w:t>申报表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55"/>
        <w:gridCol w:w="2055"/>
        <w:gridCol w:w="2055"/>
        <w:gridCol w:w="20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项目类型</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28"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申报主体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（企业/个人）</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企业信用代码/身份证</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联系人及电话</w:t>
            </w:r>
          </w:p>
        </w:tc>
        <w:tc>
          <w:tcPr>
            <w:tcW w:w="616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62"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建设地点</w:t>
            </w:r>
          </w:p>
        </w:tc>
        <w:tc>
          <w:tcPr>
            <w:tcW w:w="616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明确项目设计图斑号、图斑面积或四界坐标、现状照片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18"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建设内容</w:t>
            </w:r>
          </w:p>
        </w:tc>
        <w:tc>
          <w:tcPr>
            <w:tcW w:w="616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52"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建设时间</w:t>
            </w:r>
          </w:p>
        </w:tc>
        <w:tc>
          <w:tcPr>
            <w:tcW w:w="616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61" w:hRule="atLeast"/>
          <w:jc w:val="center"/>
        </w:trPr>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申请资金奖补规模</w:t>
            </w:r>
          </w:p>
        </w:tc>
        <w:tc>
          <w:tcPr>
            <w:tcW w:w="616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bl>
    <w:p>
      <w:pPr>
        <w:spacing w:line="360" w:lineRule="auto"/>
        <w:outlineLvl w:val="0"/>
        <w:rPr>
          <w:rFonts w:hint="eastAsia" w:ascii="宋体" w:hAnsi="宋体" w:eastAsia="方正仿宋_GBK" w:cs="方正仿宋_GBK"/>
          <w:b/>
          <w:bCs/>
          <w:sz w:val="28"/>
          <w:szCs w:val="28"/>
        </w:rPr>
        <w:sectPr>
          <w:footerReference r:id="rId4" w:type="default"/>
          <w:pgSz w:w="11905" w:h="16838"/>
          <w:pgMar w:top="2098" w:right="1474" w:bottom="1984" w:left="1587" w:header="851" w:footer="1587" w:gutter="0"/>
          <w:pgNumType w:fmt="decimal"/>
          <w:cols w:space="720" w:num="1"/>
          <w:rtlGutter w:val="0"/>
          <w:docGrid w:type="lines" w:linePitch="439" w:charSpace="0"/>
        </w:sectPr>
      </w:pPr>
    </w:p>
    <w:p>
      <w:pPr>
        <w:adjustRightInd w:val="0"/>
        <w:spacing w:line="560" w:lineRule="exact"/>
        <w:ind w:left="0" w:leftChars="0" w:firstLine="0" w:firstLineChars="0"/>
        <w:outlineLvl w:val="0"/>
        <w:rPr>
          <w:rFonts w:hint="eastAsia" w:ascii="宋体" w:hAnsi="宋体" w:eastAsia="方正黑体_GBK" w:cs="方正黑体_GBK"/>
          <w:sz w:val="32"/>
          <w:szCs w:val="32"/>
        </w:rPr>
      </w:pPr>
      <w:r>
        <w:rPr>
          <w:rFonts w:hint="eastAsia" w:ascii="宋体" w:hAnsi="宋体" w:eastAsia="方正黑体_GBK" w:cs="方正黑体_GBK"/>
          <w:sz w:val="32"/>
          <w:szCs w:val="32"/>
        </w:rPr>
        <w:t xml:space="preserve">附件3 </w:t>
      </w:r>
    </w:p>
    <w:p>
      <w:pPr>
        <w:keepNext w:val="0"/>
        <w:keepLines w:val="0"/>
        <w:pageBreakBefore w:val="0"/>
        <w:widowControl w:val="0"/>
        <w:kinsoku w:val="0"/>
        <w:wordWrap/>
        <w:overflowPunct w:val="0"/>
        <w:topLinePunct w:val="0"/>
        <w:autoSpaceDE w:val="0"/>
        <w:autoSpaceDN w:val="0"/>
        <w:bidi w:val="0"/>
        <w:adjustRightInd w:val="0"/>
        <w:snapToGrid w:val="0"/>
        <w:spacing w:line="720" w:lineRule="exact"/>
        <w:jc w:val="center"/>
        <w:textAlignment w:val="auto"/>
        <w:rPr>
          <w:rFonts w:hint="eastAsia" w:ascii="宋体" w:hAnsi="宋体" w:eastAsia="方正小标宋_GBK" w:cs="方正小标宋_GBK"/>
          <w:snapToGrid w:val="0"/>
          <w:spacing w:val="-11"/>
          <w:kern w:val="0"/>
          <w:sz w:val="44"/>
          <w:szCs w:val="24"/>
          <w:u w:val="single"/>
        </w:rPr>
      </w:pPr>
    </w:p>
    <w:p>
      <w:pPr>
        <w:keepNext w:val="0"/>
        <w:keepLines w:val="0"/>
        <w:pageBreakBefore w:val="0"/>
        <w:widowControl w:val="0"/>
        <w:kinsoku w:val="0"/>
        <w:wordWrap/>
        <w:overflowPunct w:val="0"/>
        <w:topLinePunct w:val="0"/>
        <w:autoSpaceDE w:val="0"/>
        <w:autoSpaceDN w:val="0"/>
        <w:bidi w:val="0"/>
        <w:adjustRightInd w:val="0"/>
        <w:snapToGrid w:val="0"/>
        <w:spacing w:line="720" w:lineRule="exact"/>
        <w:jc w:val="center"/>
        <w:textAlignment w:val="auto"/>
        <w:rPr>
          <w:rFonts w:hint="eastAsia" w:ascii="宋体" w:hAnsi="宋体" w:eastAsia="方正小标宋_GBK" w:cs="方正小标宋_GBK"/>
          <w:snapToGrid w:val="0"/>
          <w:spacing w:val="-11"/>
          <w:kern w:val="0"/>
          <w:sz w:val="44"/>
          <w:szCs w:val="24"/>
        </w:rPr>
      </w:pPr>
      <w:r>
        <w:rPr>
          <w:rFonts w:hint="eastAsia" w:ascii="宋体" w:hAnsi="宋体" w:eastAsia="方正小标宋_GBK" w:cs="方正小标宋_GBK"/>
          <w:snapToGrid w:val="0"/>
          <w:spacing w:val="-11"/>
          <w:kern w:val="0"/>
          <w:sz w:val="44"/>
          <w:szCs w:val="24"/>
          <w:u w:val="single"/>
        </w:rPr>
        <w:t xml:space="preserve">     </w:t>
      </w:r>
      <w:r>
        <w:rPr>
          <w:rFonts w:hint="eastAsia" w:ascii="宋体" w:hAnsi="宋体" w:eastAsia="方正小标宋_GBK" w:cs="方正小标宋_GBK"/>
          <w:snapToGrid w:val="0"/>
          <w:spacing w:val="-11"/>
          <w:kern w:val="0"/>
          <w:sz w:val="44"/>
          <w:szCs w:val="24"/>
        </w:rPr>
        <w:t>年度水土保持工程</w:t>
      </w:r>
      <w:r>
        <w:rPr>
          <w:rFonts w:hint="eastAsia" w:ascii="宋体" w:hAnsi="宋体" w:eastAsia="方正小标宋_GBK" w:cs="方正小标宋_GBK"/>
          <w:snapToGrid w:val="0"/>
          <w:spacing w:val="-11"/>
          <w:kern w:val="0"/>
          <w:sz w:val="44"/>
          <w:szCs w:val="24"/>
          <w:u w:val="single"/>
        </w:rPr>
        <w:t xml:space="preserve">   </w:t>
      </w:r>
      <w:r>
        <w:rPr>
          <w:rFonts w:hint="eastAsia" w:ascii="宋体" w:hAnsi="宋体" w:eastAsia="方正小标宋_GBK" w:cs="方正小标宋_GBK"/>
          <w:snapToGrid w:val="0"/>
          <w:spacing w:val="-11"/>
          <w:kern w:val="0"/>
          <w:sz w:val="44"/>
          <w:szCs w:val="24"/>
        </w:rPr>
        <w:t>县（市、区）</w:t>
      </w:r>
    </w:p>
    <w:p>
      <w:pPr>
        <w:keepNext w:val="0"/>
        <w:keepLines w:val="0"/>
        <w:pageBreakBefore w:val="0"/>
        <w:widowControl w:val="0"/>
        <w:kinsoku w:val="0"/>
        <w:wordWrap/>
        <w:overflowPunct w:val="0"/>
        <w:topLinePunct w:val="0"/>
        <w:autoSpaceDE w:val="0"/>
        <w:autoSpaceDN w:val="0"/>
        <w:bidi w:val="0"/>
        <w:adjustRightInd w:val="0"/>
        <w:snapToGrid w:val="0"/>
        <w:spacing w:line="720" w:lineRule="exact"/>
        <w:jc w:val="center"/>
        <w:textAlignment w:val="auto"/>
        <w:rPr>
          <w:rFonts w:hint="eastAsia" w:ascii="宋体" w:hAnsi="宋体" w:eastAsia="方正小标宋_GBK" w:cs="方正小标宋_GBK"/>
          <w:snapToGrid w:val="0"/>
          <w:spacing w:val="-11"/>
          <w:kern w:val="0"/>
          <w:sz w:val="44"/>
          <w:szCs w:val="24"/>
        </w:rPr>
      </w:pPr>
      <w:r>
        <w:rPr>
          <w:rFonts w:hint="eastAsia" w:ascii="宋体" w:hAnsi="宋体" w:eastAsia="方正小标宋_GBK" w:cs="方正小标宋_GBK"/>
          <w:snapToGrid w:val="0"/>
          <w:spacing w:val="-11"/>
          <w:kern w:val="0"/>
          <w:sz w:val="44"/>
          <w:szCs w:val="24"/>
        </w:rPr>
        <w:t>以奖代补项目建设承诺书</w:t>
      </w:r>
    </w:p>
    <w:p>
      <w:pPr>
        <w:spacing w:line="560" w:lineRule="exact"/>
        <w:jc w:val="center"/>
        <w:rPr>
          <w:rFonts w:hint="eastAsia" w:ascii="宋体" w:hAnsi="宋体" w:eastAsia="方正仿宋_GBK" w:cs="方正仿宋_GBK"/>
          <w:kern w:val="0"/>
          <w:sz w:val="32"/>
          <w:szCs w:val="32"/>
          <w:u w:val="single"/>
        </w:rPr>
      </w:pPr>
      <w:r>
        <w:rPr>
          <w:rFonts w:hint="eastAsia" w:ascii="宋体" w:hAnsi="宋体" w:eastAsia="方正仿宋_GBK" w:cs="方正仿宋_GBK"/>
          <w:kern w:val="0"/>
          <w:sz w:val="32"/>
          <w:szCs w:val="32"/>
          <w:u w:val="single"/>
        </w:rPr>
        <w:t>（样本）</w:t>
      </w:r>
    </w:p>
    <w:p>
      <w:pPr>
        <w:spacing w:line="560" w:lineRule="exact"/>
        <w:rPr>
          <w:rFonts w:hint="eastAsia" w:ascii="宋体" w:hAnsi="宋体" w:eastAsia="方正仿宋_GBK" w:cs="方正仿宋_GBK"/>
          <w:kern w:val="0"/>
          <w:sz w:val="32"/>
          <w:szCs w:val="32"/>
        </w:rPr>
      </w:pPr>
      <w:r>
        <w:rPr>
          <w:rFonts w:hint="eastAsia" w:ascii="宋体" w:hAnsi="宋体" w:eastAsia="方正仿宋_GBK" w:cs="方正仿宋_GBK"/>
          <w:kern w:val="0"/>
          <w:sz w:val="32"/>
          <w:szCs w:val="32"/>
          <w:u w:val="single"/>
        </w:rPr>
        <w:t xml:space="preserve">      </w:t>
      </w:r>
      <w:r>
        <w:rPr>
          <w:rFonts w:hint="eastAsia" w:ascii="宋体" w:hAnsi="宋体" w:eastAsia="方正仿宋_GBK" w:cs="方正仿宋_GBK"/>
          <w:kern w:val="0"/>
          <w:sz w:val="32"/>
          <w:szCs w:val="32"/>
        </w:rPr>
        <w:t>水利（</w:t>
      </w:r>
      <w:r>
        <w:rPr>
          <w:rFonts w:hint="eastAsia" w:ascii="宋体" w:hAnsi="宋体" w:eastAsia="方正仿宋_GBK" w:cs="方正仿宋_GBK"/>
          <w:kern w:val="0"/>
          <w:sz w:val="32"/>
          <w:szCs w:val="32"/>
          <w:lang w:eastAsia="zh-CN"/>
        </w:rPr>
        <w:t>水</w:t>
      </w:r>
      <w:r>
        <w:rPr>
          <w:rFonts w:hint="eastAsia" w:ascii="宋体" w:hAnsi="宋体" w:eastAsia="方正仿宋_GBK" w:cs="方正仿宋_GBK"/>
          <w:kern w:val="0"/>
          <w:sz w:val="32"/>
          <w:szCs w:val="32"/>
        </w:rPr>
        <w:t>务）局：</w:t>
      </w:r>
    </w:p>
    <w:p>
      <w:pPr>
        <w:spacing w:line="560" w:lineRule="exact"/>
        <w:ind w:firstLine="640"/>
        <w:jc w:val="both"/>
        <w:rPr>
          <w:rFonts w:hint="eastAsia" w:ascii="宋体" w:hAnsi="宋体" w:eastAsia="方正仿宋_GBK" w:cs="方正仿宋_GBK"/>
          <w:kern w:val="0"/>
          <w:sz w:val="32"/>
          <w:szCs w:val="32"/>
        </w:rPr>
      </w:pPr>
      <w:r>
        <w:rPr>
          <w:rFonts w:hint="eastAsia" w:ascii="宋体" w:hAnsi="宋体" w:eastAsia="方正仿宋_GBK" w:cs="方正仿宋_GBK"/>
          <w:kern w:val="0"/>
          <w:sz w:val="32"/>
          <w:szCs w:val="32"/>
        </w:rPr>
        <w:t>为加快推进我村（或公司、合作社）</w:t>
      </w:r>
      <w:r>
        <w:rPr>
          <w:rFonts w:hint="eastAsia" w:ascii="宋体" w:hAnsi="宋体" w:eastAsia="方正仿宋_GBK" w:cs="方正仿宋_GBK"/>
          <w:kern w:val="0"/>
          <w:sz w:val="32"/>
          <w:szCs w:val="32"/>
          <w:u w:val="single"/>
        </w:rPr>
        <w:t xml:space="preserve">          </w:t>
      </w:r>
      <w:r>
        <w:rPr>
          <w:rFonts w:hint="eastAsia" w:ascii="宋体" w:hAnsi="宋体" w:eastAsia="方正仿宋_GBK" w:cs="方正仿宋_GBK"/>
          <w:kern w:val="0"/>
          <w:sz w:val="32"/>
          <w:szCs w:val="32"/>
        </w:rPr>
        <w:t>水土流失治理，积极参与我县（市、区）水土保持以奖代补工程建设。我村（公司、合作社）自愿申报试点项目建设，自愿投资投劳垫资先建。在项目建设过程中严格按照</w:t>
      </w:r>
      <w:r>
        <w:rPr>
          <w:rFonts w:hint="eastAsia" w:ascii="宋体" w:hAnsi="宋体" w:eastAsia="方正仿宋_GBK" w:cs="方正仿宋_GBK"/>
          <w:sz w:val="32"/>
          <w:szCs w:val="32"/>
        </w:rPr>
        <w:t>《水利部关于进一步推动水土保持工程建设以奖代补的指导意见》（水保〔2021〕381号）、《云南省关于进一步推动水土保持工程建设以奖代补的</w:t>
      </w:r>
      <w:r>
        <w:rPr>
          <w:rFonts w:hint="eastAsia" w:ascii="宋体" w:hAnsi="宋体" w:eastAsia="方正仿宋_GBK" w:cs="方正仿宋_GBK"/>
          <w:sz w:val="32"/>
          <w:szCs w:val="32"/>
          <w:lang w:val="en-US" w:eastAsia="zh-CN"/>
        </w:rPr>
        <w:t>实施</w:t>
      </w:r>
      <w:r>
        <w:rPr>
          <w:rFonts w:hint="eastAsia" w:ascii="宋体" w:hAnsi="宋体" w:eastAsia="方正仿宋_GBK" w:cs="方正仿宋_GBK"/>
          <w:sz w:val="32"/>
          <w:szCs w:val="32"/>
        </w:rPr>
        <w:t>意见》、</w:t>
      </w:r>
      <w:r>
        <w:rPr>
          <w:rFonts w:hint="eastAsia" w:ascii="宋体" w:hAnsi="宋体" w:eastAsia="方正仿宋_GBK" w:cs="方正仿宋_GBK"/>
          <w:sz w:val="32"/>
          <w:szCs w:val="32"/>
          <w:u w:val="single"/>
        </w:rPr>
        <w:t xml:space="preserve">     </w:t>
      </w:r>
      <w:r>
        <w:rPr>
          <w:rFonts w:hint="eastAsia" w:ascii="宋体" w:hAnsi="宋体" w:eastAsia="方正仿宋_GBK" w:cs="方正仿宋_GBK"/>
          <w:kern w:val="0"/>
          <w:sz w:val="32"/>
          <w:szCs w:val="32"/>
        </w:rPr>
        <w:t>县（市、区）以奖代补实施细则和水土保持工程建设有关要求，确保工程建设质量，按期完成建设任务。实施过程中，公开透明，自愿接受各方面监督。主动履行建后管护责任，确保水保工程发挥长期效益。</w:t>
      </w:r>
    </w:p>
    <w:p>
      <w:pPr>
        <w:spacing w:line="560" w:lineRule="exact"/>
        <w:ind w:firstLine="640"/>
        <w:rPr>
          <w:rFonts w:hint="eastAsia" w:ascii="宋体" w:hAnsi="宋体" w:eastAsia="方正仿宋_GBK" w:cs="方正仿宋_GBK"/>
          <w:kern w:val="0"/>
          <w:sz w:val="32"/>
          <w:szCs w:val="32"/>
        </w:rPr>
      </w:pPr>
    </w:p>
    <w:p>
      <w:pPr>
        <w:spacing w:line="560" w:lineRule="exact"/>
        <w:ind w:firstLine="640"/>
        <w:rPr>
          <w:rFonts w:hint="eastAsia" w:ascii="宋体" w:hAnsi="宋体" w:eastAsia="方正仿宋_GBK" w:cs="方正仿宋_GBK"/>
          <w:kern w:val="0"/>
          <w:sz w:val="32"/>
          <w:szCs w:val="32"/>
        </w:rPr>
      </w:pPr>
    </w:p>
    <w:p>
      <w:pPr>
        <w:spacing w:line="560" w:lineRule="exact"/>
        <w:ind w:firstLine="640"/>
        <w:jc w:val="right"/>
        <w:rPr>
          <w:rFonts w:hint="eastAsia" w:ascii="宋体" w:hAnsi="宋体" w:eastAsia="方正仿宋_GBK" w:cs="方正仿宋_GBK"/>
          <w:kern w:val="0"/>
          <w:sz w:val="32"/>
          <w:szCs w:val="32"/>
        </w:rPr>
      </w:pPr>
      <w:r>
        <w:rPr>
          <w:rFonts w:hint="eastAsia" w:ascii="宋体" w:hAnsi="宋体" w:eastAsia="方正仿宋_GBK" w:cs="方正仿宋_GBK"/>
          <w:kern w:val="0"/>
          <w:sz w:val="32"/>
          <w:szCs w:val="32"/>
        </w:rPr>
        <w:t>承诺人（签章）：</w:t>
      </w:r>
      <w:r>
        <w:rPr>
          <w:rFonts w:hint="eastAsia" w:ascii="宋体" w:hAnsi="宋体" w:eastAsia="方正仿宋_GBK" w:cs="方正仿宋_GBK"/>
          <w:kern w:val="0"/>
          <w:sz w:val="32"/>
          <w:szCs w:val="32"/>
          <w:u w:val="single"/>
        </w:rPr>
        <w:t xml:space="preserve">   </w:t>
      </w:r>
      <w:r>
        <w:rPr>
          <w:rFonts w:hint="eastAsia" w:ascii="宋体" w:hAnsi="宋体" w:eastAsia="方正仿宋_GBK" w:cs="方正仿宋_GBK"/>
          <w:kern w:val="0"/>
          <w:sz w:val="32"/>
          <w:szCs w:val="32"/>
        </w:rPr>
        <w:t>村民委员会（公司、合作社）</w:t>
      </w:r>
    </w:p>
    <w:p>
      <w:pPr>
        <w:spacing w:line="560" w:lineRule="exact"/>
        <w:ind w:firstLine="2880" w:firstLineChars="900"/>
        <w:rPr>
          <w:rFonts w:hint="eastAsia" w:ascii="宋体" w:hAnsi="宋体" w:eastAsia="方正仿宋_GBK" w:cs="方正仿宋_GBK"/>
          <w:sz w:val="32"/>
          <w:szCs w:val="32"/>
        </w:rPr>
      </w:pPr>
      <w:r>
        <w:rPr>
          <w:rFonts w:hint="eastAsia" w:ascii="宋体" w:hAnsi="宋体" w:eastAsia="方正仿宋_GBK" w:cs="方正仿宋_GBK"/>
          <w:kern w:val="0"/>
          <w:sz w:val="32"/>
          <w:szCs w:val="32"/>
        </w:rPr>
        <w:t>时  间：   年  月   日</w:t>
      </w:r>
    </w:p>
    <w:p>
      <w:pPr>
        <w:spacing w:line="360" w:lineRule="auto"/>
        <w:outlineLvl w:val="0"/>
        <w:rPr>
          <w:rFonts w:hint="eastAsia" w:ascii="宋体" w:hAnsi="宋体" w:eastAsia="方正仿宋_GBK" w:cs="方正仿宋_GBK"/>
          <w:b/>
          <w:bCs/>
          <w:sz w:val="28"/>
          <w:szCs w:val="28"/>
        </w:rPr>
        <w:sectPr>
          <w:pgSz w:w="11905" w:h="16838"/>
          <w:pgMar w:top="2098" w:right="1474" w:bottom="1984" w:left="1587" w:header="851" w:footer="1587" w:gutter="0"/>
          <w:pgNumType w:fmt="decimal"/>
          <w:cols w:space="720" w:num="1"/>
          <w:rtlGutter w:val="0"/>
          <w:docGrid w:type="lines" w:linePitch="325" w:charSpace="0"/>
        </w:sectPr>
      </w:pPr>
    </w:p>
    <w:p>
      <w:pPr>
        <w:adjustRightInd w:val="0"/>
        <w:spacing w:line="560" w:lineRule="exact"/>
        <w:ind w:left="0" w:leftChars="0" w:firstLine="0" w:firstLineChars="0"/>
        <w:outlineLvl w:val="0"/>
        <w:rPr>
          <w:rFonts w:hint="eastAsia" w:ascii="宋体" w:hAnsi="宋体" w:eastAsia="方正黑体_GBK" w:cs="方正黑体_GBK"/>
          <w:sz w:val="32"/>
          <w:szCs w:val="32"/>
        </w:rPr>
      </w:pPr>
      <w:r>
        <w:rPr>
          <w:rFonts w:hint="eastAsia" w:ascii="宋体" w:hAnsi="宋体" w:eastAsia="方正黑体_GBK" w:cs="方正黑体_GBK"/>
          <w:sz w:val="32"/>
          <w:szCs w:val="32"/>
        </w:rPr>
        <w:t>附件4</w:t>
      </w: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_GBK"/>
          <w:snapToGrid w:val="0"/>
          <w:spacing w:val="0"/>
          <w:kern w:val="0"/>
          <w:sz w:val="44"/>
          <w:szCs w:val="24"/>
        </w:rPr>
      </w:pP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_GBK"/>
          <w:snapToGrid w:val="0"/>
          <w:spacing w:val="0"/>
          <w:kern w:val="0"/>
          <w:sz w:val="44"/>
          <w:szCs w:val="24"/>
        </w:rPr>
      </w:pPr>
      <w:r>
        <w:rPr>
          <w:rFonts w:hint="eastAsia" w:ascii="宋体" w:hAnsi="宋体" w:eastAsia="方正小标宋_GBK" w:cs="方正小标宋_GBK"/>
          <w:snapToGrid w:val="0"/>
          <w:spacing w:val="0"/>
          <w:kern w:val="0"/>
          <w:sz w:val="44"/>
          <w:szCs w:val="24"/>
        </w:rPr>
        <w:t>云南省水土保持工程建设以奖代补</w:t>
      </w: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_GBK"/>
          <w:snapToGrid w:val="0"/>
          <w:spacing w:val="0"/>
          <w:kern w:val="0"/>
          <w:sz w:val="44"/>
          <w:szCs w:val="24"/>
        </w:rPr>
      </w:pPr>
      <w:r>
        <w:rPr>
          <w:rFonts w:hint="eastAsia" w:ascii="宋体" w:hAnsi="宋体" w:eastAsia="方正小标宋_GBK" w:cs="方正小标宋_GBK"/>
          <w:snapToGrid w:val="0"/>
          <w:spacing w:val="0"/>
          <w:kern w:val="0"/>
          <w:sz w:val="44"/>
          <w:szCs w:val="24"/>
        </w:rPr>
        <w:t>实施方案编制参考提纲</w:t>
      </w:r>
    </w:p>
    <w:p>
      <w:pPr>
        <w:pStyle w:val="2"/>
        <w:rPr>
          <w:rFonts w:hint="eastAsia" w:ascii="宋体" w:hAnsi="宋体"/>
        </w:rPr>
      </w:pPr>
    </w:p>
    <w:p>
      <w:pPr>
        <w:pStyle w:val="15"/>
        <w:spacing w:line="560" w:lineRule="exact"/>
        <w:ind w:firstLine="640" w:firstLineChars="200"/>
        <w:rPr>
          <w:rFonts w:hint="eastAsia" w:ascii="宋体" w:hAnsi="宋体" w:eastAsia="方正黑体_GBK" w:cs="方正黑体_GBK"/>
          <w:szCs w:val="32"/>
        </w:rPr>
      </w:pPr>
      <w:r>
        <w:rPr>
          <w:rFonts w:hint="eastAsia" w:ascii="宋体" w:hAnsi="宋体" w:eastAsia="方正黑体_GBK" w:cs="方正黑体_GBK"/>
          <w:szCs w:val="32"/>
        </w:rPr>
        <w:t>一、主要技术标准</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《水土保持综合治理技术规范》（GB/T16453.1～16453.6－2008）；</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《水土保持综合治理验收规范》（GB/T15773-2008）；</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kern w:val="0"/>
          <w:sz w:val="32"/>
          <w:szCs w:val="32"/>
        </w:rPr>
      </w:pPr>
      <w:r>
        <w:rPr>
          <w:rFonts w:hint="eastAsia" w:ascii="宋体" w:hAnsi="宋体" w:eastAsia="方正仿宋_GBK" w:cs="方正仿宋_GBK"/>
          <w:kern w:val="0"/>
          <w:sz w:val="32"/>
          <w:szCs w:val="32"/>
        </w:rPr>
        <w:t>3</w:t>
      </w:r>
      <w:r>
        <w:rPr>
          <w:rFonts w:hint="default" w:ascii="宋体" w:hAnsi="宋体" w:eastAsia="方正仿宋_GBK" w:cs="方正仿宋_GBK"/>
          <w:kern w:val="0"/>
          <w:sz w:val="32"/>
          <w:szCs w:val="32"/>
          <w:lang w:val="en"/>
        </w:rPr>
        <w:t>.</w:t>
      </w:r>
      <w:r>
        <w:rPr>
          <w:rFonts w:hint="eastAsia" w:ascii="宋体" w:hAnsi="宋体" w:eastAsia="方正仿宋_GBK" w:cs="方正仿宋_GBK"/>
          <w:kern w:val="0"/>
          <w:sz w:val="32"/>
          <w:szCs w:val="32"/>
        </w:rPr>
        <w:t>《水土保持综合治理效益计算方法》（GB/T15774-2008）；</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kern w:val="0"/>
          <w:sz w:val="32"/>
          <w:szCs w:val="32"/>
        </w:rPr>
        <w:t>4</w:t>
      </w:r>
      <w:r>
        <w:rPr>
          <w:rFonts w:hint="default" w:ascii="宋体" w:hAnsi="宋体" w:eastAsia="方正仿宋_GBK" w:cs="方正仿宋_GBK"/>
          <w:kern w:val="0"/>
          <w:sz w:val="32"/>
          <w:szCs w:val="32"/>
          <w:lang w:val="en"/>
        </w:rPr>
        <w:t>.</w:t>
      </w:r>
      <w:r>
        <w:rPr>
          <w:rFonts w:hint="eastAsia" w:ascii="宋体" w:hAnsi="宋体" w:eastAsia="方正仿宋_GBK" w:cs="方正仿宋_GBK"/>
          <w:kern w:val="0"/>
          <w:sz w:val="32"/>
          <w:szCs w:val="32"/>
        </w:rPr>
        <w:t>《水土保持综合</w:t>
      </w:r>
      <w:r>
        <w:rPr>
          <w:rFonts w:hint="eastAsia" w:ascii="宋体" w:hAnsi="宋体" w:eastAsia="方正仿宋_GBK" w:cs="方正仿宋_GBK"/>
          <w:sz w:val="32"/>
          <w:szCs w:val="32"/>
        </w:rPr>
        <w:t>治理规划通则》（GB/T15772-2008）；</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5</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《水土保持林工程设计规范》（GB/T51097-2015）；</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6</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《水土保持工程设计规范》（GB 51018-2014）；</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7</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《土壤侵蚀分类分级标准》（SL190-2007）；</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8</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《水利水电工程制图标准水土保持图》(SL73.6--2015)；</w:t>
      </w:r>
    </w:p>
    <w:p>
      <w:pPr>
        <w:keepNext w:val="0"/>
        <w:keepLines w:val="0"/>
        <w:pageBreakBefore w:val="0"/>
        <w:widowControl w:val="0"/>
        <w:kinsoku/>
        <w:wordWrap/>
        <w:overflowPunct w:val="0"/>
        <w:topLinePunct w:val="0"/>
        <w:autoSpaceDE/>
        <w:autoSpaceDN/>
        <w:bidi w:val="0"/>
        <w:adjustRightInd/>
        <w:snapToGrid/>
        <w:spacing w:line="578"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9</w:t>
      </w:r>
      <w:r>
        <w:rPr>
          <w:rFonts w:hint="default" w:ascii="宋体" w:hAnsi="宋体" w:eastAsia="方正仿宋_GBK" w:cs="方正仿宋_GBK"/>
          <w:sz w:val="30"/>
          <w:szCs w:val="30"/>
          <w:lang w:val="en"/>
        </w:rPr>
        <w:t>.</w:t>
      </w:r>
      <w:r>
        <w:rPr>
          <w:rFonts w:hint="eastAsia" w:ascii="宋体" w:hAnsi="宋体" w:eastAsia="方正仿宋_GBK" w:cs="方正仿宋_GBK"/>
          <w:sz w:val="30"/>
          <w:szCs w:val="30"/>
        </w:rPr>
        <w:t>《水土保持工程概（估）算编制规定》（2003年）（水总〔2003〕67号）；</w:t>
      </w:r>
    </w:p>
    <w:p>
      <w:pPr>
        <w:keepNext w:val="0"/>
        <w:keepLines w:val="0"/>
        <w:pageBreakBefore w:val="0"/>
        <w:widowControl w:val="0"/>
        <w:kinsoku/>
        <w:wordWrap/>
        <w:overflowPunct w:val="0"/>
        <w:topLinePunct w:val="0"/>
        <w:autoSpaceDE/>
        <w:autoSpaceDN/>
        <w:bidi w:val="0"/>
        <w:adjustRightInd/>
        <w:snapToGrid/>
        <w:spacing w:line="578"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10</w:t>
      </w:r>
      <w:r>
        <w:rPr>
          <w:rFonts w:hint="default" w:ascii="宋体" w:hAnsi="宋体" w:eastAsia="方正仿宋_GBK" w:cs="方正仿宋_GBK"/>
          <w:sz w:val="30"/>
          <w:szCs w:val="30"/>
          <w:lang w:val="en"/>
        </w:rPr>
        <w:t>.</w:t>
      </w:r>
      <w:r>
        <w:rPr>
          <w:rFonts w:hint="eastAsia" w:ascii="宋体" w:hAnsi="宋体" w:eastAsia="方正仿宋_GBK" w:cs="方正仿宋_GBK"/>
          <w:sz w:val="30"/>
          <w:szCs w:val="30"/>
        </w:rPr>
        <w:t>《防洪标准》（GB50201-2014）；</w:t>
      </w:r>
    </w:p>
    <w:p>
      <w:pPr>
        <w:keepNext w:val="0"/>
        <w:keepLines w:val="0"/>
        <w:pageBreakBefore w:val="0"/>
        <w:widowControl w:val="0"/>
        <w:kinsoku/>
        <w:wordWrap/>
        <w:overflowPunct w:val="0"/>
        <w:topLinePunct w:val="0"/>
        <w:autoSpaceDE/>
        <w:autoSpaceDN/>
        <w:bidi w:val="0"/>
        <w:adjustRightInd/>
        <w:snapToGrid/>
        <w:spacing w:line="578"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11</w:t>
      </w:r>
      <w:r>
        <w:rPr>
          <w:rFonts w:hint="default" w:ascii="宋体" w:hAnsi="宋体" w:eastAsia="方正仿宋_GBK" w:cs="方正仿宋_GBK"/>
          <w:sz w:val="30"/>
          <w:szCs w:val="30"/>
          <w:lang w:val="en"/>
        </w:rPr>
        <w:t>.</w:t>
      </w:r>
      <w:r>
        <w:rPr>
          <w:rFonts w:hint="eastAsia" w:ascii="宋体" w:hAnsi="宋体" w:eastAsia="方正仿宋_GBK" w:cs="方正仿宋_GBK"/>
          <w:sz w:val="30"/>
          <w:szCs w:val="30"/>
        </w:rPr>
        <w:t>《水利工程设计概（估）算编制规定》（水总〔2014〕429号）；</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《云南省水利厅 云南省发展和改革委员会关于调整云南省水利工程计价依据有关税率及系数的通知》（云水规计〔2019〕46号）；</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rPr>
        <w:t>13</w:t>
      </w:r>
      <w:r>
        <w:rPr>
          <w:rFonts w:hint="default" w:ascii="宋体" w:hAnsi="宋体" w:eastAsia="方正仿宋_GBK" w:cs="方正仿宋_GBK"/>
          <w:color w:val="auto"/>
          <w:sz w:val="32"/>
          <w:szCs w:val="32"/>
          <w:lang w:val="en"/>
        </w:rPr>
        <w:t>.</w:t>
      </w:r>
      <w:r>
        <w:rPr>
          <w:rFonts w:hint="eastAsia" w:ascii="宋体" w:hAnsi="宋体" w:eastAsia="方正仿宋_GBK" w:cs="方正仿宋_GBK"/>
          <w:color w:val="auto"/>
          <w:sz w:val="32"/>
          <w:szCs w:val="32"/>
        </w:rPr>
        <w:t>《生态清洁小流域建设技术规范》（SL/T534-2023）；</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14</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水土保持工程调查与勘测标准（GB/T-51297-2018）；</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15</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《关于实施乡村振兴战略加快推进生态清洁小流域建设的指导意见》（水保生便字〔2018〕8号）；</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16</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水利部关于进一步推动水土保持工程建设以奖代补的指导意见（水保〔2021〕381号）；</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17</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云南省水利厅 云南省财政厅关于印发云南省水土保持工程建设以奖代补试点工作实施办法的通知（云水保〔2018〕51号）；</w:t>
      </w:r>
    </w:p>
    <w:p>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18</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水利部</w:t>
      </w:r>
      <w:r>
        <w:rPr>
          <w:rFonts w:hint="eastAsia" w:ascii="宋体" w:hAnsi="宋体" w:eastAsia="方正仿宋_GBK" w:cs="方正仿宋_GBK"/>
          <w:sz w:val="32"/>
          <w:szCs w:val="32"/>
          <w:lang w:val="en-US" w:eastAsia="zh-CN"/>
        </w:rPr>
        <w:t xml:space="preserve"> </w:t>
      </w:r>
      <w:r>
        <w:rPr>
          <w:rFonts w:hint="eastAsia" w:ascii="宋体" w:hAnsi="宋体" w:eastAsia="方正仿宋_GBK" w:cs="方正仿宋_GBK"/>
          <w:sz w:val="32"/>
          <w:szCs w:val="32"/>
        </w:rPr>
        <w:t>农业农村部 国家林业和草原局 国家乡村振兴局关于加快推进生态清洁小流域建设的指导意见（水保〔2023〕35号）。</w:t>
      </w:r>
    </w:p>
    <w:p>
      <w:pPr>
        <w:pStyle w:val="15"/>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黑体_GBK" w:cs="方正黑体_GBK"/>
          <w:szCs w:val="32"/>
        </w:rPr>
      </w:pPr>
      <w:r>
        <w:rPr>
          <w:rFonts w:hint="eastAsia" w:ascii="宋体" w:hAnsi="宋体" w:eastAsia="方正黑体_GBK" w:cs="方正黑体_GBK"/>
          <w:szCs w:val="32"/>
        </w:rPr>
        <w:t>二、项目区选址原则</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工程区以小流域为单元，以水土流失综合治理为重点，符合水土保持相关规划和年度项目计划；</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选择措施相对集中连片，容易产生效益的区域，与巩固拓展脱贫攻坚成果、推进乡村振兴和生态文明建设等进行结合；</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项目区选择不能与其他水土保持综合治理项目区的措施图斑重叠。</w:t>
      </w:r>
    </w:p>
    <w:p>
      <w:pPr>
        <w:pStyle w:val="15"/>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黑体_GBK" w:cs="方正黑体_GBK"/>
          <w:szCs w:val="32"/>
        </w:rPr>
      </w:pPr>
      <w:r>
        <w:rPr>
          <w:rFonts w:hint="eastAsia" w:ascii="宋体" w:hAnsi="宋体" w:eastAsia="方正黑体_GBK" w:cs="方正黑体_GBK"/>
          <w:szCs w:val="32"/>
        </w:rPr>
        <w:t>三、项目实施方案编制深度</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实施方案应达到初步设计深度，各项重要措施要求在1/2000（CGCS2000坐标系）的地形图上布置。</w:t>
      </w:r>
    </w:p>
    <w:p>
      <w:pPr>
        <w:pStyle w:val="15"/>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黑体_GBK" w:cs="方正黑体_GBK"/>
          <w:szCs w:val="32"/>
        </w:rPr>
      </w:pPr>
      <w:r>
        <w:rPr>
          <w:rFonts w:hint="eastAsia" w:ascii="宋体" w:hAnsi="宋体" w:eastAsia="方正黑体_GBK" w:cs="方正黑体_GBK"/>
          <w:szCs w:val="32"/>
        </w:rPr>
        <w:t>四、治理措施布设总体设计要求</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color w:val="auto"/>
          <w:sz w:val="32"/>
          <w:szCs w:val="32"/>
          <w:lang w:eastAsia="zh-CN"/>
        </w:rPr>
        <w:t>坡改梯</w:t>
      </w:r>
      <w:r>
        <w:rPr>
          <w:rFonts w:hint="eastAsia" w:ascii="宋体" w:hAnsi="宋体" w:eastAsia="方正仿宋_GBK" w:cs="方正仿宋_GBK"/>
          <w:color w:val="auto"/>
          <w:sz w:val="32"/>
          <w:szCs w:val="32"/>
        </w:rPr>
        <w:t>：梯田工程</w:t>
      </w:r>
      <w:r>
        <w:rPr>
          <w:rFonts w:hint="eastAsia" w:ascii="宋体" w:hAnsi="宋体" w:eastAsia="方正仿宋_GBK" w:cs="方正仿宋_GBK"/>
          <w:sz w:val="32"/>
          <w:szCs w:val="32"/>
        </w:rPr>
        <w:t>应布置在25°以下的坡耕地上，并应建设配套的坡面水系及生产道路；坡面水系工程：采取沟渠灌溉的，设计尽量考虑和生产道路道路排水沟、原有水系相结合，主要考虑布设到支渠和必要的斗渠，必须进行纵断面和横断面设计。采取管道工程引水灌溉的，应与蓄水池相配套。</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缺水地区采取水窖工程灌溉的，应进行完善的地表径流拦蓄工程设计，并尽可能与生产道路排水沟设计相结合，水窖前应布设沉砂池。</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地表径流进入梯田区处，应布置截水沟等小型蓄排工程，保证梯田区安全。面积较大、侵蚀严重的沟壑，应结合小型水利水保工程进行防护。</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生产道路：主要布设在坡耕地地块中，生产道路应考虑设计单边或者双边排水沟，并与灌排沟渠结合布设，必须进行纵断面和横断面设计。根据地形和需要，缓坡区（小于15°）要布设从坡脚拉直到坡顶的生产道路；陡坡区（大于15°）布设“S”形的生产道路，道路宽度以满足生产需要为原则，一般不得超过5m，采用碎石或者泥结石路面。</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谷坊：谷坊工程高度应小于5m，主要布置在沟道侵蚀严重，对重要设施对象构成影响或威胁的沟壑，谷坊坝址要求在沟道较窄、沟底和岸坡地质状况良好的路段。</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其他措施：清洁小流域建设的各项措施设计应符合相应的规范标准，其他综合治理措施应符合水土保持综合治理技术规范要求。</w:t>
      </w:r>
    </w:p>
    <w:p>
      <w:pPr>
        <w:pStyle w:val="15"/>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黑体_GBK" w:cs="方正黑体_GBK"/>
          <w:szCs w:val="32"/>
        </w:rPr>
      </w:pPr>
      <w:r>
        <w:rPr>
          <w:rFonts w:hint="eastAsia" w:ascii="宋体" w:hAnsi="宋体" w:eastAsia="方正黑体_GBK" w:cs="方正黑体_GBK"/>
          <w:szCs w:val="32"/>
        </w:rPr>
        <w:t>五、主要编制内容及要求</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（一）正文部分编制说明</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工程概况：明确工程的建设地点、工程规模等级、工程的布局、工程量、施工工期及资金筹措情况；</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主要的工程投资指标：总投资、独立费用及各项措施投资占比；申请奖补资金总额及分布情况；</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编制原则和依据：依据水土保持投资概估算等相关规定；</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4</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项目划分及计算方法：项目划分为工程措施费用、林草措施费用、封育治理措施费用、其他措施费用、独立费用及预备费六部分组成；</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5</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费率计算标准及依据；</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6</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概算编制的其他依据；</w:t>
      </w:r>
    </w:p>
    <w:p>
      <w:pPr>
        <w:pStyle w:val="15"/>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Cs w:val="32"/>
        </w:rPr>
      </w:pPr>
      <w:r>
        <w:rPr>
          <w:rFonts w:hint="eastAsia" w:ascii="宋体" w:hAnsi="宋体" w:eastAsia="方正仿宋_GBK" w:cs="方正仿宋_GBK"/>
          <w:szCs w:val="32"/>
        </w:rPr>
        <w:t>7</w:t>
      </w:r>
      <w:r>
        <w:rPr>
          <w:rFonts w:hint="default" w:ascii="宋体" w:hAnsi="宋体" w:eastAsia="方正仿宋_GBK" w:cs="方正仿宋_GBK"/>
          <w:szCs w:val="32"/>
          <w:lang w:val="en"/>
        </w:rPr>
        <w:t>.</w:t>
      </w:r>
      <w:r>
        <w:rPr>
          <w:rFonts w:hint="eastAsia" w:ascii="宋体" w:hAnsi="宋体" w:eastAsia="方正仿宋_GBK" w:cs="方正仿宋_GBK"/>
          <w:szCs w:val="32"/>
        </w:rPr>
        <w:t>工程建后的运行管护落实情况。</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（二）基础单价</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人工预算单价：按水利部（水总〔2014〕429号）人工预算单价计算标准执行；</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主要材料，施工用水、电、风，砂石料等基础单价的计取依据并附表</w:t>
      </w:r>
      <w:r>
        <w:rPr>
          <w:rFonts w:hint="eastAsia" w:ascii="宋体" w:hAnsi="宋体" w:eastAsia="方正仿宋_GBK" w:cs="方正仿宋_GBK"/>
          <w:sz w:val="32"/>
          <w:szCs w:val="32"/>
          <w:lang w:val="en-US" w:eastAsia="zh-CN"/>
        </w:rPr>
        <w:t>。</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（三）砂浆、混凝土单价</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按定额计算并附表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（四）施工机械台时费</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按定额计算并附表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（五）概算表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工程综合单价概算表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总概算表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分部工程概算表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4</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独立费用计算表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5</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主要材料量汇总表</w:t>
      </w:r>
    </w:p>
    <w:p>
      <w:pPr>
        <w:keepNext w:val="0"/>
        <w:keepLines w:val="0"/>
        <w:pageBreakBefore w:val="0"/>
        <w:widowControl w:val="0"/>
        <w:kinsoku/>
        <w:wordWrap/>
        <w:topLinePunct w:val="0"/>
        <w:autoSpaceDE/>
        <w:autoSpaceDN/>
        <w:bidi w:val="0"/>
        <w:adjustRightInd/>
        <w:snapToGrid/>
        <w:spacing w:line="578" w:lineRule="exact"/>
        <w:ind w:firstLine="640" w:firstLineChars="200"/>
        <w:textAlignment w:val="auto"/>
        <w:rPr>
          <w:rFonts w:hint="eastAsia" w:ascii="宋体" w:hAnsi="宋体"/>
        </w:rPr>
      </w:pPr>
      <w:r>
        <w:rPr>
          <w:rFonts w:hint="eastAsia" w:ascii="宋体" w:hAnsi="宋体" w:eastAsia="方正楷体_GBK" w:cs="方正楷体_GBK"/>
          <w:sz w:val="32"/>
          <w:szCs w:val="32"/>
        </w:rPr>
        <w:t>（六）附表格式</w:t>
      </w:r>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r>
        <w:rPr>
          <w:rFonts w:hint="eastAsia" w:ascii="宋体" w:hAnsi="宋体" w:eastAsia="方正小标宋_GBK" w:cs="方正小标宋_GBK"/>
          <w:snapToGrid w:val="0"/>
          <w:spacing w:val="-11"/>
          <w:kern w:val="0"/>
          <w:sz w:val="28"/>
          <w:szCs w:val="28"/>
        </w:rPr>
        <w:t>工程综合单价概算表</w:t>
      </w:r>
      <w:r>
        <w:rPr>
          <w:rFonts w:hint="eastAsia" w:ascii="宋体" w:hAnsi="宋体" w:eastAsia="方正小标宋_GBK" w:cs="方正小标宋_GBK"/>
          <w:snapToGrid w:val="0"/>
          <w:spacing w:val="-11"/>
          <w:kern w:val="0"/>
          <w:sz w:val="32"/>
          <w:szCs w:val="32"/>
        </w:rPr>
        <w:t xml:space="preserve">  </w:t>
      </w:r>
      <w:r>
        <w:rPr>
          <w:rFonts w:hint="eastAsia" w:ascii="宋体" w:hAnsi="宋体" w:eastAsia="方正小标宋_GBK" w:cs="方正小标宋_GBK"/>
          <w:snapToGrid w:val="0"/>
          <w:spacing w:val="-11"/>
          <w:kern w:val="0"/>
          <w:sz w:val="28"/>
          <w:szCs w:val="28"/>
        </w:rPr>
        <w:t>单位：元</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2384"/>
        <w:gridCol w:w="1766"/>
        <w:gridCol w:w="1767"/>
        <w:gridCol w:w="17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9"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编号</w:t>
            </w:r>
          </w:p>
        </w:tc>
        <w:tc>
          <w:tcPr>
            <w:tcW w:w="2384"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工程或费用名称</w:t>
            </w:r>
          </w:p>
        </w:tc>
        <w:tc>
          <w:tcPr>
            <w:tcW w:w="1766"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综合单价（元）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9"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2384"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6"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9"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2384"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6"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9"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2384"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6"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49"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2384"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6"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c>
          <w:tcPr>
            <w:tcW w:w="1767" w:type="dxa"/>
            <w:noWrap w:val="0"/>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sz w:val="24"/>
                <w:szCs w:val="24"/>
              </w:rPr>
            </w:pPr>
          </w:p>
        </w:tc>
      </w:tr>
    </w:tbl>
    <w:p>
      <w:pPr>
        <w:spacing w:line="360" w:lineRule="auto"/>
        <w:jc w:val="center"/>
        <w:rPr>
          <w:rFonts w:hint="eastAsia" w:ascii="宋体" w:hAnsi="宋体" w:eastAsia="方正仿宋_GBK" w:cs="方正仿宋_GBK"/>
          <w:b/>
          <w:bCs/>
          <w:sz w:val="24"/>
          <w:szCs w:val="24"/>
        </w:rPr>
      </w:pPr>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r>
        <w:rPr>
          <w:rFonts w:hint="eastAsia" w:ascii="宋体" w:hAnsi="宋体" w:eastAsia="方正小标宋_GBK" w:cs="方正小标宋_GBK"/>
          <w:snapToGrid w:val="0"/>
          <w:spacing w:val="-11"/>
          <w:kern w:val="0"/>
          <w:sz w:val="28"/>
          <w:szCs w:val="28"/>
        </w:rPr>
        <w:t>总概算表           单位：万元</w:t>
      </w:r>
    </w:p>
    <w:tbl>
      <w:tblPr>
        <w:tblStyle w:val="9"/>
        <w:tblW w:w="92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994"/>
        <w:gridCol w:w="979"/>
        <w:gridCol w:w="774"/>
        <w:gridCol w:w="774"/>
        <w:gridCol w:w="1023"/>
        <w:gridCol w:w="1185"/>
        <w:gridCol w:w="590"/>
        <w:gridCol w:w="11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84" w:type="dxa"/>
            <w:vMerge w:val="restart"/>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994" w:type="dxa"/>
            <w:vMerge w:val="restart"/>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工程或费用名称</w:t>
            </w:r>
          </w:p>
        </w:tc>
        <w:tc>
          <w:tcPr>
            <w:tcW w:w="9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建安工程费</w:t>
            </w:r>
          </w:p>
        </w:tc>
        <w:tc>
          <w:tcPr>
            <w:tcW w:w="154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林草工程费</w:t>
            </w:r>
          </w:p>
        </w:tc>
        <w:tc>
          <w:tcPr>
            <w:tcW w:w="102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封育治理费</w:t>
            </w:r>
          </w:p>
        </w:tc>
        <w:tc>
          <w:tcPr>
            <w:tcW w:w="118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独立费用</w:t>
            </w:r>
          </w:p>
        </w:tc>
        <w:tc>
          <w:tcPr>
            <w:tcW w:w="59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w:t>
            </w:r>
          </w:p>
        </w:tc>
        <w:tc>
          <w:tcPr>
            <w:tcW w:w="111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占总投资</w:t>
            </w:r>
          </w:p>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84"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1994"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栽植费</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苗木费</w:t>
            </w:r>
          </w:p>
        </w:tc>
        <w:tc>
          <w:tcPr>
            <w:tcW w:w="1023"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1185"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590"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c>
          <w:tcPr>
            <w:tcW w:w="1114" w:type="dxa"/>
            <w:vMerge w:val="continue"/>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第一部分   工程措施</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979"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第二部分   林草措施</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第三部分 封育治理措施</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spacing w:line="578" w:lineRule="exact"/>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第四部分   其他措施</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第五部分   独立费用</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一</w:t>
            </w: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项目管理费</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二</w:t>
            </w: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工程建设监理费</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三</w:t>
            </w: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科研勘测设计费</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8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四</w:t>
            </w:r>
          </w:p>
        </w:tc>
        <w:tc>
          <w:tcPr>
            <w:tcW w:w="199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水土保持监测费</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一～五部分合计</w:t>
            </w:r>
          </w:p>
        </w:tc>
        <w:tc>
          <w:tcPr>
            <w:tcW w:w="979"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774"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774"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023"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185"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590"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基本预备费</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778"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工程总投资</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2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85"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59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1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bl>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r>
        <w:rPr>
          <w:rFonts w:hint="eastAsia" w:ascii="宋体" w:hAnsi="宋体" w:eastAsia="方正小标宋_GBK" w:cs="方正小标宋_GBK"/>
          <w:snapToGrid w:val="0"/>
          <w:spacing w:val="-11"/>
          <w:kern w:val="0"/>
          <w:sz w:val="28"/>
          <w:szCs w:val="28"/>
        </w:rPr>
        <w:t>分部工程概算表     单位：元</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2"/>
        <w:gridCol w:w="3843"/>
        <w:gridCol w:w="792"/>
        <w:gridCol w:w="1060"/>
        <w:gridCol w:w="1062"/>
        <w:gridCol w:w="1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编号</w:t>
            </w:r>
          </w:p>
        </w:tc>
        <w:tc>
          <w:tcPr>
            <w:tcW w:w="384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工程或费用名称</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单价</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第一部分    工程措施</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384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第二部分   林草措施</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第三部分   封育治理措施</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384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第四部分   其他措施</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p>
        </w:tc>
        <w:tc>
          <w:tcPr>
            <w:tcW w:w="3843"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kern w:val="0"/>
                <w:sz w:val="24"/>
                <w:szCs w:val="24"/>
              </w:rPr>
              <w:t>…………………</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05" w:type="dxa"/>
            <w:gridSpan w:val="2"/>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一至四部分之和</w:t>
            </w:r>
          </w:p>
        </w:tc>
        <w:tc>
          <w:tcPr>
            <w:tcW w:w="79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0"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062"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314" w:type="dxa"/>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bl>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32"/>
          <w:szCs w:val="32"/>
        </w:rPr>
      </w:pPr>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r>
        <w:rPr>
          <w:rFonts w:hint="eastAsia" w:ascii="宋体" w:hAnsi="宋体" w:eastAsia="方正小标宋_GBK" w:cs="方正小标宋_GBK"/>
          <w:snapToGrid w:val="0"/>
          <w:spacing w:val="-11"/>
          <w:kern w:val="0"/>
          <w:sz w:val="28"/>
          <w:szCs w:val="28"/>
        </w:rPr>
        <w:t>独立费用计算表   单位：万元</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873"/>
        <w:gridCol w:w="1588"/>
        <w:gridCol w:w="2400"/>
        <w:gridCol w:w="761"/>
        <w:gridCol w:w="1606"/>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费用名称</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编制依据及计算方式</w:t>
            </w: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606"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单价（万元）</w:t>
            </w:r>
          </w:p>
        </w:tc>
        <w:tc>
          <w:tcPr>
            <w:tcW w:w="1605"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项目管理费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项目经常费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技术支持培训费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工程建设监理费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科研勘测设计费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3"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588"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水土保持监测费</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c>
          <w:tcPr>
            <w:tcW w:w="1605" w:type="dxa"/>
            <w:shd w:val="clear" w:color="000000" w:fill="auto"/>
            <w:noWrap w:val="0"/>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461" w:type="dxa"/>
            <w:gridSpan w:val="2"/>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　合计</w:t>
            </w:r>
          </w:p>
        </w:tc>
        <w:tc>
          <w:tcPr>
            <w:tcW w:w="2400"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761"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6"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c>
          <w:tcPr>
            <w:tcW w:w="1605" w:type="dxa"/>
            <w:shd w:val="clear" w:color="000000" w:fill="auto"/>
            <w:noWrap w:val="0"/>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0"/>
                <w:sz w:val="24"/>
                <w:szCs w:val="24"/>
              </w:rPr>
            </w:pPr>
          </w:p>
        </w:tc>
      </w:tr>
    </w:tbl>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32"/>
          <w:szCs w:val="32"/>
        </w:rPr>
      </w:pPr>
    </w:p>
    <w:p>
      <w:pPr>
        <w:kinsoku w:val="0"/>
        <w:overflowPunct w:val="0"/>
        <w:autoSpaceDE w:val="0"/>
        <w:autoSpaceDN w:val="0"/>
        <w:adjustRightInd w:val="0"/>
        <w:snapToGrid w:val="0"/>
        <w:spacing w:line="720" w:lineRule="exact"/>
        <w:jc w:val="center"/>
        <w:rPr>
          <w:rFonts w:hint="eastAsia" w:ascii="宋体" w:hAnsi="宋体" w:eastAsia="方正小标宋_GBK" w:cs="方正小标宋_GBK"/>
          <w:snapToGrid w:val="0"/>
          <w:spacing w:val="-11"/>
          <w:kern w:val="0"/>
          <w:sz w:val="28"/>
          <w:szCs w:val="28"/>
        </w:rPr>
      </w:pPr>
      <w:r>
        <w:rPr>
          <w:rFonts w:hint="eastAsia" w:ascii="宋体" w:hAnsi="宋体" w:eastAsia="方正小标宋_GBK" w:cs="方正小标宋_GBK"/>
          <w:snapToGrid w:val="0"/>
          <w:spacing w:val="-11"/>
          <w:kern w:val="0"/>
          <w:sz w:val="28"/>
          <w:szCs w:val="28"/>
        </w:rPr>
        <w:t>主要材料量汇总表</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1261"/>
        <w:gridCol w:w="1262"/>
        <w:gridCol w:w="1262"/>
        <w:gridCol w:w="1262"/>
        <w:gridCol w:w="1261"/>
        <w:gridCol w:w="12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26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工程项目</w:t>
            </w: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水泥</w:t>
            </w: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钢筋</w:t>
            </w: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砂</w:t>
            </w:r>
          </w:p>
        </w:tc>
        <w:tc>
          <w:tcPr>
            <w:tcW w:w="126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碎石</w:t>
            </w:r>
          </w:p>
        </w:tc>
        <w:tc>
          <w:tcPr>
            <w:tcW w:w="126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c>
          <w:tcPr>
            <w:tcW w:w="126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p>
        </w:tc>
      </w:tr>
    </w:tbl>
    <w:p>
      <w:pPr>
        <w:spacing w:line="578" w:lineRule="exact"/>
        <w:ind w:firstLine="640" w:firstLineChars="200"/>
        <w:rPr>
          <w:rFonts w:hint="eastAsia" w:ascii="宋体" w:hAnsi="宋体" w:eastAsia="方正楷体_GBK" w:cs="方正楷体_GBK"/>
          <w:sz w:val="32"/>
          <w:szCs w:val="32"/>
        </w:rPr>
      </w:pPr>
    </w:p>
    <w:p>
      <w:pPr>
        <w:spacing w:line="578" w:lineRule="exact"/>
        <w:ind w:firstLine="640" w:firstLineChars="200"/>
        <w:rPr>
          <w:rFonts w:hint="eastAsia" w:ascii="宋体" w:hAnsi="宋体" w:eastAsia="方正楷体_GBK" w:cs="方正楷体_GBK"/>
          <w:sz w:val="32"/>
          <w:szCs w:val="32"/>
        </w:rPr>
      </w:pPr>
      <w:r>
        <w:rPr>
          <w:rFonts w:hint="eastAsia" w:ascii="宋体" w:hAnsi="宋体" w:eastAsia="方正楷体_GBK" w:cs="方正楷体_GBK"/>
          <w:sz w:val="32"/>
          <w:szCs w:val="32"/>
        </w:rPr>
        <w:t>（七）附件部分</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单价分析汇总表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单价分析表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default" w:ascii="宋体" w:hAnsi="宋体" w:eastAsia="方正仿宋_GBK" w:cs="方正仿宋_GBK"/>
          <w:sz w:val="32"/>
          <w:szCs w:val="32"/>
          <w:lang w:val="en"/>
        </w:rPr>
        <w:t>.</w:t>
      </w:r>
      <w:r>
        <w:rPr>
          <w:rFonts w:hint="eastAsia" w:ascii="宋体" w:hAnsi="宋体" w:eastAsia="方正仿宋_GBK" w:cs="方正仿宋_GBK"/>
          <w:sz w:val="32"/>
          <w:szCs w:val="32"/>
        </w:rPr>
        <w:t>承诺书</w:t>
      </w:r>
    </w:p>
    <w:p>
      <w:pPr>
        <w:adjustRightInd w:val="0"/>
        <w:spacing w:line="560" w:lineRule="exact"/>
        <w:ind w:firstLine="640" w:firstLineChars="200"/>
        <w:outlineLvl w:val="0"/>
        <w:rPr>
          <w:rFonts w:hint="eastAsia" w:ascii="宋体" w:hAnsi="宋体" w:eastAsia="方正黑体_GBK" w:cs="方正黑体_GBK"/>
          <w:sz w:val="32"/>
          <w:szCs w:val="32"/>
        </w:rPr>
      </w:pPr>
      <w:r>
        <w:rPr>
          <w:rFonts w:hint="eastAsia" w:ascii="宋体" w:hAnsi="宋体" w:eastAsia="方正黑体_GBK" w:cs="方正黑体_GBK"/>
          <w:sz w:val="32"/>
          <w:szCs w:val="32"/>
        </w:rPr>
        <w:t>六、文字及图表要求</w:t>
      </w:r>
    </w:p>
    <w:p>
      <w:pPr>
        <w:spacing w:line="578" w:lineRule="exact"/>
        <w:ind w:firstLine="640" w:firstLineChars="200"/>
        <w:rPr>
          <w:rFonts w:hint="eastAsia" w:ascii="宋体" w:hAnsi="宋体" w:eastAsia="方正楷体_GBK" w:cs="方正楷体_GBK"/>
          <w:sz w:val="32"/>
          <w:szCs w:val="32"/>
        </w:rPr>
      </w:pPr>
      <w:r>
        <w:rPr>
          <w:rFonts w:hint="eastAsia" w:ascii="宋体" w:hAnsi="宋体" w:eastAsia="方正楷体_GBK" w:cs="方正楷体_GBK"/>
          <w:sz w:val="32"/>
          <w:szCs w:val="32"/>
        </w:rPr>
        <w:t>（一）报告名称</w:t>
      </w:r>
    </w:p>
    <w:p>
      <w:pPr>
        <w:spacing w:line="578" w:lineRule="exact"/>
        <w:ind w:firstLine="640" w:firstLineChars="200"/>
        <w:rPr>
          <w:rFonts w:hint="eastAsia" w:ascii="宋体" w:hAnsi="宋体" w:eastAsia="方正仿宋_GBK" w:cs="方正仿宋_GBK"/>
          <w:sz w:val="32"/>
          <w:szCs w:val="32"/>
          <w:lang w:val="en" w:eastAsia="zh-CN"/>
        </w:rPr>
      </w:pPr>
      <w:r>
        <w:rPr>
          <w:rFonts w:hint="eastAsia" w:ascii="宋体" w:hAnsi="宋体" w:eastAsia="方正仿宋_GBK" w:cs="方正仿宋_GBK"/>
          <w:sz w:val="32"/>
          <w:szCs w:val="32"/>
        </w:rPr>
        <w:t>云南省××年水土保持工程××县（市、区）××以奖代补实施方案</w:t>
      </w:r>
      <w:r>
        <w:rPr>
          <w:rFonts w:hint="eastAsia" w:ascii="宋体" w:hAnsi="宋体" w:eastAsia="方正仿宋_GBK" w:cs="方正仿宋_GBK"/>
          <w:sz w:val="32"/>
          <w:szCs w:val="32"/>
          <w:lang w:eastAsia="zh-CN"/>
        </w:rPr>
        <w:t>。</w:t>
      </w:r>
    </w:p>
    <w:p>
      <w:pPr>
        <w:spacing w:line="578" w:lineRule="exact"/>
        <w:ind w:firstLine="640" w:firstLineChars="200"/>
        <w:rPr>
          <w:rFonts w:hint="eastAsia" w:ascii="宋体" w:hAnsi="宋体" w:eastAsia="方正楷体_GBK" w:cs="方正楷体_GBK"/>
          <w:sz w:val="32"/>
          <w:szCs w:val="32"/>
        </w:rPr>
      </w:pPr>
      <w:r>
        <w:rPr>
          <w:rFonts w:hint="eastAsia" w:ascii="宋体" w:hAnsi="宋体" w:eastAsia="方正楷体_GBK" w:cs="方正楷体_GBK"/>
          <w:sz w:val="32"/>
          <w:szCs w:val="32"/>
        </w:rPr>
        <w:t>（二）数据要求</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报告中社会经济资料统一采用前一年的资料。应做到文字、图表数据一致，表与表之间数据复核逻辑关系，特别应注意土地利用与水土保持措施规划表格之间数据的合理性，报告统一用国际标准计量单位，各类数据小数点取舍要求如下：</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km</w:t>
      </w:r>
      <w:r>
        <w:rPr>
          <w:rFonts w:hint="eastAsia" w:ascii="宋体" w:hAnsi="宋体" w:eastAsia="方正仿宋_GBK" w:cs="方正仿宋_GBK"/>
          <w:sz w:val="32"/>
          <w:szCs w:val="32"/>
          <w:vertAlign w:val="superscript"/>
        </w:rPr>
        <w:t>2</w:t>
      </w:r>
      <w:r>
        <w:rPr>
          <w:rFonts w:hint="eastAsia" w:ascii="宋体" w:hAnsi="宋体" w:eastAsia="方正仿宋_GBK" w:cs="方正仿宋_GBK"/>
          <w:sz w:val="32"/>
          <w:szCs w:val="32"/>
        </w:rPr>
        <w:t>、hm</w:t>
      </w:r>
      <w:r>
        <w:rPr>
          <w:rFonts w:hint="eastAsia" w:ascii="宋体" w:hAnsi="宋体" w:eastAsia="方正仿宋_GBK" w:cs="方正仿宋_GBK"/>
          <w:sz w:val="32"/>
          <w:szCs w:val="32"/>
          <w:vertAlign w:val="superscript"/>
        </w:rPr>
        <w:t>2</w:t>
      </w:r>
      <w:r>
        <w:rPr>
          <w:rFonts w:hint="eastAsia" w:ascii="宋体" w:hAnsi="宋体" w:eastAsia="方正仿宋_GBK" w:cs="方正仿宋_GBK"/>
          <w:sz w:val="32"/>
          <w:szCs w:val="32"/>
        </w:rPr>
        <w:t>、t、km、人均土地面积等统一保留两位小数。</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百分比保留1位小数；</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kg、m</w:t>
      </w:r>
      <w:r>
        <w:rPr>
          <w:rFonts w:hint="eastAsia" w:ascii="宋体" w:hAnsi="宋体" w:eastAsia="方正仿宋_GBK" w:cs="方正仿宋_GBK"/>
          <w:sz w:val="32"/>
          <w:szCs w:val="32"/>
          <w:vertAlign w:val="superscript"/>
        </w:rPr>
        <w:t>3</w:t>
      </w:r>
      <w:r>
        <w:rPr>
          <w:rFonts w:hint="eastAsia" w:ascii="宋体" w:hAnsi="宋体" w:eastAsia="方正仿宋_GBK" w:cs="方正仿宋_GBK"/>
          <w:sz w:val="32"/>
          <w:szCs w:val="32"/>
        </w:rPr>
        <w:t>、m</w:t>
      </w:r>
      <w:r>
        <w:rPr>
          <w:rFonts w:hint="eastAsia" w:ascii="宋体" w:hAnsi="宋体" w:eastAsia="方正仿宋_GBK" w:cs="方正仿宋_GBK"/>
          <w:sz w:val="32"/>
          <w:szCs w:val="32"/>
          <w:vertAlign w:val="superscript"/>
        </w:rPr>
        <w:t>2</w:t>
      </w:r>
      <w:r>
        <w:rPr>
          <w:rFonts w:hint="eastAsia" w:ascii="宋体" w:hAnsi="宋体" w:eastAsia="方正仿宋_GBK" w:cs="方正仿宋_GBK"/>
          <w:sz w:val="32"/>
          <w:szCs w:val="32"/>
        </w:rPr>
        <w:t>、m、元，以及人口密度、侵蚀模数、粮食单产、人均产粮、人均纯收入等统一取整数。</w:t>
      </w:r>
    </w:p>
    <w:p>
      <w:pPr>
        <w:spacing w:line="578" w:lineRule="exact"/>
        <w:ind w:firstLine="640" w:firstLineChars="200"/>
        <w:rPr>
          <w:rFonts w:hint="eastAsia" w:ascii="宋体" w:hAnsi="宋体" w:eastAsia="方正楷体_GBK" w:cs="方正楷体_GBK"/>
          <w:sz w:val="32"/>
          <w:szCs w:val="32"/>
        </w:rPr>
      </w:pPr>
      <w:r>
        <w:rPr>
          <w:rFonts w:hint="eastAsia" w:ascii="宋体" w:hAnsi="宋体" w:eastAsia="方正楷体_GBK" w:cs="方正楷体_GBK"/>
          <w:sz w:val="32"/>
          <w:szCs w:val="32"/>
        </w:rPr>
        <w:t>（三）制表要求</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包含三类表格，一是报告附表，二是报告插表，三是基础表格。报告附表附在文字之后，与报告一起装订；报告插表按“章-序号”编号，插入相应的文字之中；基础表格单独装订成册，以备审查和实施中查阅。</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color w:val="auto"/>
          <w:sz w:val="32"/>
          <w:szCs w:val="32"/>
        </w:rPr>
        <w:t>附表参照实施方案编制提纲及生态清洁小流域建设技术规范，</w:t>
      </w:r>
      <w:r>
        <w:rPr>
          <w:rFonts w:hint="eastAsia" w:ascii="宋体" w:hAnsi="宋体" w:eastAsia="方正仿宋_GBK" w:cs="方正仿宋_GBK"/>
          <w:color w:val="auto"/>
          <w:sz w:val="32"/>
          <w:szCs w:val="32"/>
          <w:lang w:eastAsia="zh-CN"/>
        </w:rPr>
        <w:t>包</w:t>
      </w:r>
      <w:r>
        <w:rPr>
          <w:rFonts w:hint="eastAsia" w:ascii="宋体" w:hAnsi="宋体" w:eastAsia="方正仿宋_GBK" w:cs="方正仿宋_GBK"/>
          <w:sz w:val="32"/>
          <w:szCs w:val="32"/>
          <w:lang w:eastAsia="zh-CN"/>
        </w:rPr>
        <w:t>括但不限于以下附表：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小流域社会经济情况表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小流域土地利用情况表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小流域水土流失现状表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小流域水土保持措施现状及规划表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小流域工程量、物资及投劳情况表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小流域水土保持措施投资概算及分摊表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小流域水土保持措施效益估算表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小流域图斑登记表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小流域沟（河）道水系基本情况调查表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小流域人居环境基本情况调查表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小流域旅游资源调查表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小流域企事业单位废水调查表</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小流域面源污染调查表</w:t>
      </w:r>
    </w:p>
    <w:p>
      <w:pPr>
        <w:spacing w:line="578" w:lineRule="exact"/>
        <w:ind w:firstLine="640" w:firstLineChars="200"/>
        <w:rPr>
          <w:rFonts w:hint="eastAsia" w:ascii="宋体" w:hAnsi="宋体" w:eastAsia="方正楷体_GBK" w:cs="方正楷体_GBK"/>
          <w:sz w:val="32"/>
          <w:szCs w:val="32"/>
        </w:rPr>
      </w:pPr>
      <w:r>
        <w:rPr>
          <w:rFonts w:hint="eastAsia" w:ascii="宋体" w:hAnsi="宋体" w:eastAsia="方正楷体_GBK" w:cs="方正楷体_GBK"/>
          <w:sz w:val="32"/>
          <w:szCs w:val="32"/>
        </w:rPr>
        <w:t>（四）制图要求</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1</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参照《水土保持制图规范》的有关规定制图；</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采用计算机制图；</w:t>
      </w:r>
    </w:p>
    <w:p>
      <w:pPr>
        <w:spacing w:line="578"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3</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水土流失现状图上色方法如下：</w:t>
      </w:r>
    </w:p>
    <w:p>
      <w:pPr>
        <w:spacing w:line="360" w:lineRule="auto"/>
        <w:ind w:firstLine="640" w:firstLineChars="200"/>
        <w:rPr>
          <w:rFonts w:hint="eastAsia" w:ascii="宋体" w:hAnsi="宋体" w:eastAsia="方正仿宋_GBK" w:cs="方正仿宋_GBK"/>
          <w:sz w:val="24"/>
          <w:szCs w:val="24"/>
        </w:rPr>
      </w:pPr>
      <w:r>
        <w:rPr>
          <w:rFonts w:hint="eastAsia" w:ascii="宋体" w:hAnsi="宋体" w:eastAsia="方正仿宋_GBK" w:cs="方正仿宋_GBK"/>
        </w:rPr>
        <w:drawing>
          <wp:inline distT="0" distB="0" distL="114300" distR="114300">
            <wp:extent cx="5274310" cy="2169160"/>
            <wp:effectExtent l="0" t="0" r="2540" b="25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274310" cy="2169160"/>
                    </a:xfrm>
                    <a:prstGeom prst="rect">
                      <a:avLst/>
                    </a:prstGeom>
                    <a:noFill/>
                    <a:ln>
                      <a:noFill/>
                    </a:ln>
                  </pic:spPr>
                </pic:pic>
              </a:graphicData>
            </a:graphic>
          </wp:inline>
        </w:drawing>
      </w:r>
    </w:p>
    <w:p>
      <w:pPr>
        <w:spacing w:line="578" w:lineRule="exact"/>
        <w:ind w:firstLine="640" w:firstLineChars="200"/>
        <w:rPr>
          <w:rFonts w:ascii="宋体" w:hAnsi="宋体"/>
        </w:rPr>
      </w:pPr>
      <w:r>
        <w:rPr>
          <w:rFonts w:hint="eastAsia" w:ascii="宋体" w:hAnsi="宋体" w:eastAsia="方正仿宋_GBK" w:cs="方正仿宋_GBK"/>
          <w:sz w:val="32"/>
          <w:szCs w:val="32"/>
        </w:rPr>
        <w:t>4</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土地利用现状图和水土保持措施规划图按照水土保持制图标准执行</w:t>
      </w:r>
      <w:r>
        <w:rPr>
          <w:rFonts w:hint="eastAsia" w:ascii="宋体" w:hAnsi="宋体" w:eastAsia="方正仿宋_GBK" w:cs="方正仿宋_GBK"/>
          <w:sz w:val="32"/>
          <w:szCs w:val="32"/>
          <w:lang w:eastAsia="zh-CN"/>
        </w:rPr>
        <w:t>。</w:t>
      </w:r>
    </w:p>
    <w:p>
      <w:pPr>
        <w:keepNext w:val="0"/>
        <w:keepLines w:val="0"/>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kern w:val="0"/>
          <w:sz w:val="32"/>
          <w:szCs w:val="32"/>
          <w:lang w:val="en-US" w:eastAsia="zh-CN" w:bidi="ar-SA"/>
        </w:rPr>
      </w:pPr>
    </w:p>
    <w:sectPr>
      <w:headerReference r:id="rId5" w:type="default"/>
      <w:footerReference r:id="rId6"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3FCAC7EB-1D59-4079-A737-42E96B2C956C}"/>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A8DDEDD1-56DE-4CFB-A6CE-7A67F4902BD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embedRegular r:id="rId3" w:fontKey="{3E7E466C-6EDC-45DE-B04F-5982A5A3AC6C}"/>
  </w:font>
  <w:font w:name="方正仿宋_GBK">
    <w:altName w:val="微软雅黑"/>
    <w:panose1 w:val="03000509000000000000"/>
    <w:charset w:val="86"/>
    <w:family w:val="script"/>
    <w:pitch w:val="default"/>
    <w:sig w:usb0="00000000" w:usb1="00000000" w:usb2="00000000" w:usb3="00000000" w:csb0="00040000" w:csb1="00000000"/>
    <w:embedRegular r:id="rId4" w:fontKey="{25A5DA08-BBB3-4700-9B3F-15D55CE22C8F}"/>
  </w:font>
  <w:font w:name="幼圆">
    <w:altName w:val="宋体"/>
    <w:panose1 w:val="0201050906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800002BF" w:usb1="38CF7CFA" w:usb2="00000016" w:usb3="00000000" w:csb0="00040000" w:csb1="00000000"/>
    <w:embedRegular r:id="rId5" w:fontKey="{EC961A90-2B1E-4D72-8D7E-15E306679CE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3" w:lineRule="exact"/>
      <w:ind w:firstLine="7860"/>
      <w:rPr>
        <w:rFonts w:ascii="幼圆" w:hAnsi="幼圆" w:eastAsia="幼圆" w:cs="幼圆"/>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3" w:lineRule="exact"/>
      <w:ind w:firstLine="7860"/>
      <w:rPr>
        <w:rFonts w:ascii="幼圆" w:hAnsi="幼圆" w:eastAsia="幼圆" w:cs="幼圆"/>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08902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89025" cy="1828800"/>
                      </a:xfrm>
                      <a:prstGeom prst="rect">
                        <a:avLst/>
                      </a:prstGeom>
                      <a:noFill/>
                      <a:ln>
                        <a:noFill/>
                      </a:ln>
                    </wps:spPr>
                    <wps:txbx>
                      <w:txbxContent>
                        <w:p>
                          <w:pPr>
                            <w:pStyle w:val="6"/>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lIns="0" tIns="0" rIns="0" bIns="0" upright="0">
                      <a:spAutoFit/>
                    </wps:bodyPr>
                  </wps:wsp>
                </a:graphicData>
              </a:graphic>
            </wp:anchor>
          </w:drawing>
        </mc:Choice>
        <mc:Fallback>
          <w:pict>
            <v:shape id="_x0000_s1026" o:spid="_x0000_s1026" o:spt="202" type="#_x0000_t202" style="position:absolute;left:0pt;margin-top:0pt;height:144pt;width:85.75pt;mso-position-horizontal:outside;mso-position-horizontal-relative:margin;z-index:251660288;mso-width-relative:page;mso-height-relative:page;" filled="f" stroked="f" coordsize="21600,21600" o:gfxdata="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sTE+l0wAAAAUBAAAPAAAAAAAAAAEAIAAAACIAAABkcnMvZG93bnJldi54&#10;bWxQSwECFAAUAAAACACHTuJAhkOewcYBAACNAwAADgAAAAAAAAABACAAAAAiAQAAZHJzL2Uyb0Rv&#10;Yy54bWxQSwUGAAAAAAYABgBZAQAAWgUAAAAA&#10;">
              <v:path/>
              <v:fill on="f" focussize="0,0"/>
              <v:stroke on="f"/>
              <v:imagedata o:title=""/>
              <o:lock v:ext="edit" aspectratio="f"/>
              <v:textbox inset="0mm,0mm,0mm,0mm" style="mso-fit-shape-to-text:t;">
                <w:txbxContent>
                  <w:p>
                    <w:pPr>
                      <w:pStyle w:val="6"/>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1F814F4A"/>
    <w:rsid w:val="04EF26C7"/>
    <w:rsid w:val="1344693A"/>
    <w:rsid w:val="1AD843A5"/>
    <w:rsid w:val="1F814F4A"/>
    <w:rsid w:val="2C6F4A37"/>
    <w:rsid w:val="42430F44"/>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3">
    <w:name w:val="toa heading"/>
    <w:basedOn w:val="1"/>
    <w:next w:val="1"/>
    <w:qFormat/>
    <w:uiPriority w:val="0"/>
    <w:pPr>
      <w:spacing w:before="120"/>
    </w:pPr>
    <w:rPr>
      <w:rFonts w:ascii="Cambria" w:hAnsi="Cambria"/>
      <w:sz w:val="24"/>
      <w:szCs w:val="22"/>
    </w:rPr>
  </w:style>
  <w:style w:type="paragraph" w:styleId="4">
    <w:name w:val="Body Text"/>
    <w:basedOn w:val="1"/>
    <w:next w:val="5"/>
    <w:qFormat/>
    <w:uiPriority w:val="0"/>
    <w:rPr>
      <w:rFonts w:ascii="宋体"/>
      <w:sz w:val="24"/>
    </w:rPr>
  </w:style>
  <w:style w:type="paragraph" w:styleId="5">
    <w:name w:val="Body Text First Indent"/>
    <w:basedOn w:val="4"/>
    <w:qFormat/>
    <w:uiPriority w:val="99"/>
    <w:pPr>
      <w:ind w:firstLine="420" w:firstLineChars="100"/>
    </w:pPr>
    <w:rPr>
      <w:rFonts w:cs="宋体"/>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2">
    <w:name w:val="List Paragraph"/>
    <w:basedOn w:val="1"/>
    <w:qFormat/>
    <w:uiPriority w:val="34"/>
    <w:pPr>
      <w:ind w:firstLine="420" w:firstLineChars="200"/>
    </w:pPr>
  </w:style>
  <w:style w:type="paragraph" w:customStyle="1" w:styleId="13">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4">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5">
    <w:name w:val="实施方案正文"/>
    <w:basedOn w:val="1"/>
    <w:qFormat/>
    <w:uiPriority w:val="0"/>
    <w:pPr>
      <w:ind w:firstLine="566" w:firstLineChars="202"/>
    </w:pPr>
    <w:rPr>
      <w:rFonts w:ascii="Times New Roman" w:hAnsi="Times New Roman" w:eastAsia="宋体" w:cs="Times New Roman"/>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3930</Words>
  <Characters>3974</Characters>
  <Lines>0</Lines>
  <Paragraphs>0</Paragraphs>
  <TotalTime>0</TotalTime>
  <ScaleCrop>false</ScaleCrop>
  <LinksUpToDate>false</LinksUpToDate>
  <CharactersWithSpaces>4014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杨希娴</cp:lastModifiedBy>
  <dcterms:modified xsi:type="dcterms:W3CDTF">2023-11-20T11:57:59Z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2302BCAC78E648988C5922524257C87D_13</vt:lpwstr>
  </property>
</Properties>
</file>